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25491" w14:textId="736CF46E" w:rsidR="00612398" w:rsidRPr="00612398" w:rsidRDefault="00612398" w:rsidP="00612398">
      <w:pPr>
        <w:jc w:val="both"/>
        <w:rPr>
          <w:rFonts w:cs="Arial"/>
          <w:b/>
          <w:sz w:val="24"/>
          <w:szCs w:val="22"/>
          <w:lang w:val="es-ES"/>
        </w:rPr>
      </w:pPr>
      <w:r w:rsidRPr="00612398">
        <w:rPr>
          <w:rFonts w:cs="Arial"/>
          <w:b/>
          <w:sz w:val="24"/>
          <w:szCs w:val="22"/>
          <w:lang w:val="es-ES"/>
        </w:rPr>
        <w:t>Soluciones integrales de medición de presión y temperatura para temperaturas ambiente extremadamente bajas.</w:t>
      </w:r>
    </w:p>
    <w:p w14:paraId="28BF40E9" w14:textId="7AF1BD26" w:rsidR="00710CE5" w:rsidRPr="00F02CCF" w:rsidRDefault="00710CE5" w:rsidP="00164018">
      <w:pPr>
        <w:pStyle w:val="Corpsdetexte"/>
        <w:rPr>
          <w:bCs w:val="0"/>
          <w:sz w:val="24"/>
          <w:lang w:val="es-ES"/>
        </w:rPr>
      </w:pPr>
    </w:p>
    <w:p w14:paraId="54FD61C2" w14:textId="668B52FC" w:rsidR="00710CE5" w:rsidRPr="00710CE5" w:rsidRDefault="00710CE5" w:rsidP="00710CE5">
      <w:pPr>
        <w:pStyle w:val="Corpsdetexte"/>
        <w:rPr>
          <w:bCs w:val="0"/>
          <w:sz w:val="24"/>
          <w:lang w:val="es-ES"/>
        </w:rPr>
      </w:pPr>
      <w:r w:rsidRPr="00710CE5">
        <w:rPr>
          <w:bCs w:val="0"/>
          <w:sz w:val="24"/>
          <w:lang w:val="es-ES"/>
        </w:rPr>
        <w:t xml:space="preserve">Barcelona, </w:t>
      </w:r>
      <w:r w:rsidR="00612398">
        <w:rPr>
          <w:bCs w:val="0"/>
          <w:sz w:val="24"/>
          <w:lang w:val="es-ES"/>
        </w:rPr>
        <w:t>abril</w:t>
      </w:r>
      <w:r w:rsidR="008643B2" w:rsidRPr="008643B2">
        <w:rPr>
          <w:bCs w:val="0"/>
          <w:sz w:val="24"/>
          <w:lang w:val="es-ES"/>
        </w:rPr>
        <w:t xml:space="preserve"> </w:t>
      </w:r>
      <w:r w:rsidRPr="00710CE5">
        <w:rPr>
          <w:bCs w:val="0"/>
          <w:sz w:val="24"/>
          <w:lang w:val="es-ES"/>
        </w:rPr>
        <w:t>2021.</w:t>
      </w:r>
    </w:p>
    <w:p w14:paraId="6153C615" w14:textId="5082297F" w:rsidR="00612398" w:rsidRPr="00612398" w:rsidRDefault="00612398" w:rsidP="00612398">
      <w:pPr>
        <w:jc w:val="both"/>
        <w:rPr>
          <w:rFonts w:cs="Arial"/>
          <w:b/>
          <w:sz w:val="24"/>
          <w:szCs w:val="22"/>
          <w:lang w:val="es-ES"/>
        </w:rPr>
      </w:pPr>
      <w:r w:rsidRPr="00612398">
        <w:rPr>
          <w:rFonts w:cs="Arial"/>
          <w:b/>
          <w:sz w:val="24"/>
          <w:szCs w:val="22"/>
          <w:lang w:val="es-ES"/>
        </w:rPr>
        <w:t xml:space="preserve">Bajo la marca registrada </w:t>
      </w:r>
      <w:proofErr w:type="spellStart"/>
      <w:r w:rsidRPr="00612398">
        <w:rPr>
          <w:rFonts w:cs="Arial"/>
          <w:b/>
          <w:sz w:val="24"/>
          <w:szCs w:val="22"/>
          <w:lang w:val="es-ES"/>
        </w:rPr>
        <w:t>POLARgauge</w:t>
      </w:r>
      <w:proofErr w:type="spellEnd"/>
      <w:r w:rsidRPr="00612398">
        <w:rPr>
          <w:rFonts w:cs="Arial"/>
          <w:b/>
          <w:sz w:val="24"/>
          <w:szCs w:val="22"/>
          <w:lang w:val="es-ES"/>
        </w:rPr>
        <w:t>®, WIKA ofrece dos manómetros y dos termómetros para exposiciones a temperaturas ambientales de hasta -70 °C.</w:t>
      </w:r>
    </w:p>
    <w:p w14:paraId="61858166" w14:textId="04F73467" w:rsidR="00904599" w:rsidRPr="00FF3D63" w:rsidRDefault="00904599" w:rsidP="00710CE5">
      <w:pPr>
        <w:pStyle w:val="Corpsdetexte"/>
        <w:rPr>
          <w:bCs w:val="0"/>
          <w:sz w:val="24"/>
          <w:lang w:val="es-ES"/>
        </w:rPr>
      </w:pPr>
    </w:p>
    <w:p w14:paraId="59C21B8A" w14:textId="77777777" w:rsidR="00904599" w:rsidRPr="00FF3D63" w:rsidRDefault="00904599" w:rsidP="00904599">
      <w:pPr>
        <w:pStyle w:val="Corpsdetexte"/>
        <w:rPr>
          <w:lang w:val="es-ES"/>
        </w:rPr>
      </w:pPr>
    </w:p>
    <w:p w14:paraId="1BD625B6" w14:textId="523B9D3A" w:rsidR="00612398" w:rsidRPr="00841001" w:rsidRDefault="004852D4" w:rsidP="00612398">
      <w:pPr>
        <w:spacing w:after="200" w:line="276" w:lineRule="auto"/>
        <w:jc w:val="both"/>
        <w:rPr>
          <w:rFonts w:cs="Arial"/>
          <w:bCs/>
          <w:sz w:val="21"/>
          <w:szCs w:val="21"/>
          <w:lang w:val="es-ES"/>
        </w:rPr>
      </w:pPr>
      <w:r>
        <w:rPr>
          <w:rFonts w:cs="Arial"/>
          <w:bCs/>
          <w:sz w:val="21"/>
          <w:szCs w:val="21"/>
          <w:lang w:val="es-ES"/>
        </w:rPr>
        <w:t xml:space="preserve">Los instrumentos de medición </w:t>
      </w:r>
      <w:r w:rsidR="00612398" w:rsidRPr="00841001">
        <w:rPr>
          <w:rFonts w:cs="Arial"/>
          <w:bCs/>
          <w:sz w:val="21"/>
          <w:szCs w:val="21"/>
          <w:lang w:val="es-ES"/>
        </w:rPr>
        <w:t xml:space="preserve">estándar alcanzan sus límites al ser expuestos a temperaturas ambiente extremadamente bajas. Una de las causas de su deterioro puede deberse a las juntas, estas pierden sus propiedades de sellado al cabo de cierto tiempo, causando fugas en los instrumentos de medición, estas fugas causan el congelamiento de las piezas móviles dentro de la caja e impiden el funcionamiento de los instrumentos de medición. Además, una mirilla empañada impide una buena la lectura. </w:t>
      </w:r>
    </w:p>
    <w:p w14:paraId="01716B1F" w14:textId="5298A7CD" w:rsidR="00612398" w:rsidRPr="00841001" w:rsidRDefault="00612398" w:rsidP="00612398">
      <w:pPr>
        <w:autoSpaceDE w:val="0"/>
        <w:autoSpaceDN w:val="0"/>
        <w:adjustRightInd w:val="0"/>
        <w:spacing w:after="200" w:line="276" w:lineRule="auto"/>
        <w:jc w:val="both"/>
        <w:rPr>
          <w:rFonts w:cs="Arial"/>
          <w:bCs/>
          <w:sz w:val="21"/>
          <w:szCs w:val="21"/>
          <w:lang w:val="es-ES"/>
        </w:rPr>
      </w:pPr>
      <w:r w:rsidRPr="00841001">
        <w:rPr>
          <w:rFonts w:cs="Arial"/>
          <w:bCs/>
          <w:sz w:val="21"/>
          <w:szCs w:val="21"/>
          <w:lang w:val="es-ES"/>
        </w:rPr>
        <w:t>Gracias a su diseño especial, el manómetro de muelle tubular PG23LT y el manó</w:t>
      </w:r>
      <w:r w:rsidR="00A20A4E">
        <w:rPr>
          <w:rFonts w:cs="Arial"/>
          <w:bCs/>
          <w:sz w:val="21"/>
          <w:szCs w:val="21"/>
          <w:lang w:val="es-ES"/>
        </w:rPr>
        <w:t>metro de presión diferencial 732</w:t>
      </w:r>
      <w:bookmarkStart w:id="0" w:name="_GoBack"/>
      <w:bookmarkEnd w:id="0"/>
      <w:r w:rsidRPr="00841001">
        <w:rPr>
          <w:rFonts w:cs="Arial"/>
          <w:bCs/>
          <w:sz w:val="21"/>
          <w:szCs w:val="21"/>
          <w:lang w:val="es-ES"/>
        </w:rPr>
        <w:t>.31, así como el termómetro bimetálico Tipo 55 y el termómetro de gas Tipo 73 pueden ser usados al aire libre, resisten a temperaturas ambientales de hasta -70 °C.  Una de las principales características de su diseño es que están fabricados completamente en acero inoxidable y carecen de juntas o anillos de sellado con elastómeros. La caja de estos instrumentos contiene un líquido capaz de soportar temperaturas de hasta -70 grados. Cumplen con los requisitos de protección ambiental IP66 y IP67 para rangos mayores de 0...40 bar (opcional).</w:t>
      </w:r>
    </w:p>
    <w:p w14:paraId="31267C50" w14:textId="3D9E8CC2" w:rsidR="00612398" w:rsidRDefault="00612398" w:rsidP="00612398">
      <w:pPr>
        <w:pStyle w:val="Corpsdetexte"/>
        <w:jc w:val="both"/>
        <w:rPr>
          <w:b w:val="0"/>
          <w:sz w:val="21"/>
          <w:szCs w:val="21"/>
          <w:lang w:val="es-ES"/>
        </w:rPr>
      </w:pPr>
      <w:r w:rsidRPr="00841001">
        <w:rPr>
          <w:b w:val="0"/>
          <w:sz w:val="21"/>
          <w:szCs w:val="21"/>
          <w:lang w:val="es-ES"/>
        </w:rPr>
        <w:t>Los cuatro son generalmente usados en proyectos y lugares con temperaturas invernales extremas. Se utilizan principalmente en la industria petrolera y  gas, la industria petroquímica, en estaciones de bombeo de petróleo, etc.</w:t>
      </w:r>
    </w:p>
    <w:p w14:paraId="068ABF7A" w14:textId="77777777" w:rsidR="00516ECB" w:rsidRPr="00841001" w:rsidRDefault="00516ECB" w:rsidP="00612398">
      <w:pPr>
        <w:pStyle w:val="Corpsdetexte"/>
        <w:jc w:val="both"/>
        <w:rPr>
          <w:b w:val="0"/>
          <w:sz w:val="21"/>
          <w:szCs w:val="21"/>
          <w:lang w:val="es-ES"/>
        </w:rPr>
      </w:pPr>
    </w:p>
    <w:p w14:paraId="50C225AE" w14:textId="50BEC1A2" w:rsidR="00904599" w:rsidRPr="00516ECB" w:rsidRDefault="00904599" w:rsidP="00612398">
      <w:pPr>
        <w:pStyle w:val="Corpsdetexte"/>
        <w:jc w:val="both"/>
        <w:rPr>
          <w:b w:val="0"/>
          <w:sz w:val="21"/>
          <w:szCs w:val="21"/>
          <w:lang w:val="es-ES"/>
        </w:rPr>
      </w:pPr>
      <w:r w:rsidRPr="00516ECB">
        <w:rPr>
          <w:b w:val="0"/>
          <w:sz w:val="21"/>
          <w:szCs w:val="21"/>
          <w:lang w:val="es-ES"/>
        </w:rPr>
        <w:t xml:space="preserve">Número de caracteres: </w:t>
      </w:r>
      <w:r w:rsidR="00612398" w:rsidRPr="00516ECB">
        <w:rPr>
          <w:b w:val="0"/>
          <w:sz w:val="21"/>
          <w:szCs w:val="21"/>
          <w:lang w:val="es-ES"/>
        </w:rPr>
        <w:t>1.157</w:t>
      </w:r>
    </w:p>
    <w:p w14:paraId="432C5A3B" w14:textId="6FF71029" w:rsidR="00904599" w:rsidRPr="00516ECB" w:rsidRDefault="00904599" w:rsidP="00904599">
      <w:pPr>
        <w:rPr>
          <w:b/>
          <w:sz w:val="21"/>
          <w:szCs w:val="21"/>
          <w:lang w:val="es-ES"/>
        </w:rPr>
      </w:pPr>
      <w:r w:rsidRPr="00516ECB">
        <w:rPr>
          <w:rFonts w:cs="Arial"/>
          <w:position w:val="6"/>
          <w:sz w:val="21"/>
          <w:szCs w:val="21"/>
          <w:lang w:val="es-ES"/>
        </w:rPr>
        <w:t xml:space="preserve">Palabra clave: </w:t>
      </w:r>
      <w:r w:rsidR="007801FD" w:rsidRPr="007801FD">
        <w:rPr>
          <w:rFonts w:cs="Arial"/>
          <w:position w:val="6"/>
          <w:lang w:val="es-ES"/>
        </w:rPr>
        <w:t>manómetros y</w:t>
      </w:r>
      <w:r w:rsidR="004852D4" w:rsidRPr="007801FD">
        <w:rPr>
          <w:rFonts w:cs="Arial"/>
          <w:position w:val="6"/>
          <w:lang w:val="es-ES"/>
        </w:rPr>
        <w:t xml:space="preserve"> </w:t>
      </w:r>
      <w:r w:rsidR="007801FD" w:rsidRPr="007801FD">
        <w:rPr>
          <w:rFonts w:cs="Arial"/>
          <w:position w:val="6"/>
          <w:lang w:val="es-ES"/>
        </w:rPr>
        <w:t xml:space="preserve">termómetros </w:t>
      </w:r>
      <w:proofErr w:type="spellStart"/>
      <w:r w:rsidR="004852D4" w:rsidRPr="007801FD">
        <w:rPr>
          <w:rFonts w:cs="Arial"/>
          <w:position w:val="6"/>
          <w:lang w:val="es-ES"/>
        </w:rPr>
        <w:t>POLARgauge</w:t>
      </w:r>
      <w:proofErr w:type="spellEnd"/>
      <w:r w:rsidR="004852D4" w:rsidRPr="007801FD">
        <w:rPr>
          <w:rFonts w:cs="Arial"/>
          <w:position w:val="6"/>
          <w:vertAlign w:val="superscript"/>
          <w:lang w:val="es-ES"/>
        </w:rPr>
        <w:t>®</w:t>
      </w:r>
    </w:p>
    <w:p w14:paraId="3B555E95" w14:textId="77777777" w:rsidR="00B02416" w:rsidRPr="00550979" w:rsidRDefault="00B02416">
      <w:pPr>
        <w:pStyle w:val="Corpsdetexte"/>
        <w:rPr>
          <w:b w:val="0"/>
          <w:sz w:val="20"/>
          <w:lang w:val="es-ES"/>
        </w:rPr>
      </w:pPr>
    </w:p>
    <w:p w14:paraId="335944C1" w14:textId="760E5F4E" w:rsidR="00B02416" w:rsidRPr="007801FD" w:rsidRDefault="002C310C">
      <w:pPr>
        <w:rPr>
          <w:lang w:val="es-ES"/>
        </w:rPr>
      </w:pPr>
      <w:r w:rsidRPr="007801FD">
        <w:rPr>
          <w:b/>
          <w:bCs/>
          <w:lang w:val="es-ES"/>
        </w:rPr>
        <w:t>Fabricante</w:t>
      </w:r>
      <w:r w:rsidR="00B02416" w:rsidRPr="007801FD">
        <w:rPr>
          <w:b/>
          <w:bCs/>
          <w:lang w:val="es-ES"/>
        </w:rPr>
        <w:t>:</w:t>
      </w:r>
    </w:p>
    <w:p w14:paraId="02AF7755" w14:textId="77777777" w:rsidR="00B02416" w:rsidRPr="00612398" w:rsidRDefault="00B02416">
      <w:r w:rsidRPr="00612398">
        <w:rPr>
          <w:lang w:val="en-US"/>
        </w:rPr>
        <w:t xml:space="preserve">WIKA Alexander </w:t>
      </w:r>
      <w:proofErr w:type="spellStart"/>
      <w:r w:rsidRPr="00612398">
        <w:rPr>
          <w:lang w:val="en-US"/>
        </w:rPr>
        <w:t>Wiegand</w:t>
      </w:r>
      <w:proofErr w:type="spellEnd"/>
      <w:r w:rsidRPr="00612398">
        <w:rPr>
          <w:lang w:val="en-US"/>
        </w:rPr>
        <w:t xml:space="preserve"> SE &amp; Co. </w:t>
      </w:r>
      <w:r w:rsidRPr="00612398">
        <w:t>KG</w:t>
      </w:r>
    </w:p>
    <w:p w14:paraId="2081BBD7" w14:textId="77777777" w:rsidR="00B02416" w:rsidRPr="00612398" w:rsidRDefault="00B02416">
      <w:r w:rsidRPr="00612398">
        <w:t>Alexander-Wiegand-Straße 30</w:t>
      </w:r>
    </w:p>
    <w:p w14:paraId="2C0FF748" w14:textId="77777777" w:rsidR="00B02416" w:rsidRPr="00612398" w:rsidRDefault="00B02416">
      <w:r w:rsidRPr="00612398">
        <w:t>63911 Klingenberg/Germany</w:t>
      </w:r>
    </w:p>
    <w:p w14:paraId="7B8E5D45" w14:textId="77777777" w:rsidR="00B02416" w:rsidRPr="009467FA" w:rsidRDefault="00B02416">
      <w:pPr>
        <w:tabs>
          <w:tab w:val="left" w:pos="754"/>
          <w:tab w:val="left" w:pos="993"/>
        </w:tabs>
        <w:rPr>
          <w:lang w:val="es-ES"/>
        </w:rPr>
      </w:pPr>
      <w:r w:rsidRPr="009467FA">
        <w:rPr>
          <w:lang w:val="es-ES"/>
        </w:rPr>
        <w:t>Tel. +49 9372 132-0</w:t>
      </w:r>
    </w:p>
    <w:p w14:paraId="1F9D1149" w14:textId="77777777" w:rsidR="00B02416" w:rsidRPr="00612398" w:rsidRDefault="00B02416">
      <w:pPr>
        <w:tabs>
          <w:tab w:val="left" w:pos="754"/>
          <w:tab w:val="left" w:pos="993"/>
        </w:tabs>
        <w:rPr>
          <w:lang w:val="es-ES"/>
        </w:rPr>
      </w:pPr>
      <w:r w:rsidRPr="00612398">
        <w:rPr>
          <w:lang w:val="es-ES"/>
        </w:rPr>
        <w:t>Fax +49 9372 132-406</w:t>
      </w:r>
    </w:p>
    <w:p w14:paraId="67ACE2AD" w14:textId="77777777" w:rsidR="00B02416" w:rsidRPr="00612398" w:rsidRDefault="00B02416">
      <w:pPr>
        <w:tabs>
          <w:tab w:val="left" w:pos="754"/>
          <w:tab w:val="left" w:pos="993"/>
        </w:tabs>
        <w:rPr>
          <w:u w:val="single"/>
          <w:lang w:val="es-ES"/>
        </w:rPr>
      </w:pPr>
      <w:r w:rsidRPr="00612398">
        <w:rPr>
          <w:lang w:val="es-ES"/>
        </w:rPr>
        <w:lastRenderedPageBreak/>
        <w:t>vertrieb@wika.com</w:t>
      </w:r>
    </w:p>
    <w:p w14:paraId="6E80F9C9" w14:textId="7BFD9B62" w:rsidR="00B02416" w:rsidRPr="00612398" w:rsidRDefault="00A20A4E">
      <w:pPr>
        <w:tabs>
          <w:tab w:val="left" w:pos="754"/>
          <w:tab w:val="left" w:pos="993"/>
        </w:tabs>
        <w:rPr>
          <w:rStyle w:val="Lienhypertexte"/>
          <w:rFonts w:cs="Arial"/>
          <w:lang w:val="es-ES"/>
        </w:rPr>
      </w:pPr>
      <w:hyperlink r:id="rId10" w:history="1">
        <w:r w:rsidR="00632089" w:rsidRPr="00612398">
          <w:rPr>
            <w:rStyle w:val="Lienhypertexte"/>
            <w:rFonts w:cs="Arial"/>
            <w:lang w:val="es-ES"/>
          </w:rPr>
          <w:t>www.wika.de</w:t>
        </w:r>
      </w:hyperlink>
    </w:p>
    <w:p w14:paraId="4B3F02B3" w14:textId="77777777" w:rsidR="00164018" w:rsidRPr="00612398" w:rsidRDefault="00164018">
      <w:pPr>
        <w:tabs>
          <w:tab w:val="left" w:pos="754"/>
          <w:tab w:val="left" w:pos="993"/>
        </w:tabs>
        <w:rPr>
          <w:rFonts w:ascii="Times New Roman" w:hAnsi="Times New Roman"/>
          <w:lang w:val="es-ES"/>
        </w:rPr>
      </w:pPr>
    </w:p>
    <w:p w14:paraId="20B8BEF0" w14:textId="69AE241D" w:rsidR="007C30C6" w:rsidRDefault="00D26913" w:rsidP="00516ECB">
      <w:pPr>
        <w:rPr>
          <w:b/>
          <w:lang w:val="es-ES"/>
        </w:rPr>
      </w:pPr>
      <w:r w:rsidRPr="00612398">
        <w:rPr>
          <w:b/>
          <w:lang w:val="es-ES"/>
        </w:rPr>
        <w:br w:type="page"/>
      </w:r>
      <w:r w:rsidR="007C30C6" w:rsidRPr="002C310C">
        <w:rPr>
          <w:b/>
          <w:lang w:val="es-ES"/>
        </w:rPr>
        <w:t>Fotografía de la empresa WIKA:</w:t>
      </w:r>
    </w:p>
    <w:p w14:paraId="21184919" w14:textId="2B6AFD15" w:rsidR="00516ECB" w:rsidRPr="00516ECB" w:rsidRDefault="00516ECB" w:rsidP="00516ECB">
      <w:pPr>
        <w:pStyle w:val="Corpsdetexte"/>
        <w:rPr>
          <w:b w:val="0"/>
          <w:lang w:val="pt-BR"/>
        </w:rPr>
      </w:pPr>
      <w:r>
        <w:rPr>
          <w:b w:val="0"/>
          <w:lang w:val="pt-BR"/>
        </w:rPr>
        <w:t>Ma</w:t>
      </w:r>
      <w:r w:rsidRPr="00516ECB">
        <w:rPr>
          <w:b w:val="0"/>
          <w:lang w:val="pt-BR"/>
        </w:rPr>
        <w:t>n</w:t>
      </w:r>
      <w:proofErr w:type="spellStart"/>
      <w:r w:rsidRPr="00516ECB">
        <w:rPr>
          <w:b w:val="0"/>
          <w:sz w:val="21"/>
          <w:szCs w:val="21"/>
          <w:lang w:val="es-ES"/>
        </w:rPr>
        <w:t>ó</w:t>
      </w:r>
      <w:proofErr w:type="spellEnd"/>
      <w:r w:rsidRPr="00516ECB">
        <w:rPr>
          <w:b w:val="0"/>
          <w:lang w:val="pt-BR"/>
        </w:rPr>
        <w:t>metros</w:t>
      </w:r>
      <w:r w:rsidRPr="00516ECB">
        <w:rPr>
          <w:b w:val="0"/>
          <w:lang w:val="pt-BR"/>
        </w:rPr>
        <w:t xml:space="preserve"> PG23LT e 732</w:t>
      </w:r>
      <w:r>
        <w:rPr>
          <w:b w:val="0"/>
          <w:lang w:val="pt-BR"/>
        </w:rPr>
        <w:t xml:space="preserve">.31 y </w:t>
      </w:r>
      <w:proofErr w:type="spellStart"/>
      <w:r>
        <w:rPr>
          <w:b w:val="0"/>
          <w:lang w:val="pt-BR"/>
        </w:rPr>
        <w:t>te</w:t>
      </w:r>
      <w:r w:rsidRPr="00516ECB">
        <w:rPr>
          <w:b w:val="0"/>
          <w:lang w:val="pt-BR"/>
        </w:rPr>
        <w:t>rm</w:t>
      </w:r>
      <w:r w:rsidRPr="00516ECB">
        <w:rPr>
          <w:b w:val="0"/>
          <w:sz w:val="21"/>
          <w:szCs w:val="21"/>
          <w:lang w:val="es-ES"/>
        </w:rPr>
        <w:t>ó</w:t>
      </w:r>
      <w:proofErr w:type="spellEnd"/>
      <w:r w:rsidRPr="00516ECB">
        <w:rPr>
          <w:b w:val="0"/>
          <w:lang w:val="pt-BR"/>
        </w:rPr>
        <w:t>metros</w:t>
      </w:r>
      <w:r w:rsidRPr="00516ECB">
        <w:rPr>
          <w:b w:val="0"/>
          <w:lang w:val="pt-BR"/>
        </w:rPr>
        <w:t xml:space="preserve"> 55 e 73</w:t>
      </w:r>
    </w:p>
    <w:p w14:paraId="0B1E561C" w14:textId="0CD87480" w:rsidR="00710CE5" w:rsidRPr="00516ECB" w:rsidRDefault="00710CE5" w:rsidP="00DD2D67">
      <w:pPr>
        <w:pStyle w:val="En-tte"/>
        <w:tabs>
          <w:tab w:val="clear" w:pos="4536"/>
          <w:tab w:val="clear" w:pos="9072"/>
        </w:tabs>
        <w:rPr>
          <w:b/>
          <w:lang w:val="pt-BR"/>
        </w:rPr>
      </w:pPr>
    </w:p>
    <w:p w14:paraId="3484E792" w14:textId="77E08FBA" w:rsidR="00516ECB" w:rsidRPr="00516ECB" w:rsidRDefault="00516ECB" w:rsidP="00516ECB">
      <w:pPr>
        <w:pStyle w:val="Corpsdetexte"/>
        <w:rPr>
          <w:b w:val="0"/>
          <w:lang w:val="pt-BR"/>
        </w:rPr>
      </w:pPr>
      <w:r w:rsidRPr="00297042">
        <w:rPr>
          <w:b w:val="0"/>
          <w:noProof/>
          <w:lang w:val="en-US" w:eastAsia="zh-CN" w:bidi="th-TH"/>
        </w:rPr>
        <w:drawing>
          <wp:inline distT="0" distB="0" distL="0" distR="0" wp14:anchorId="6A02ECCC" wp14:editId="4973BB2D">
            <wp:extent cx="819150" cy="10477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1047750"/>
                    </a:xfrm>
                    <a:prstGeom prst="rect">
                      <a:avLst/>
                    </a:prstGeom>
                    <a:noFill/>
                    <a:ln>
                      <a:noFill/>
                    </a:ln>
                  </pic:spPr>
                </pic:pic>
              </a:graphicData>
            </a:graphic>
          </wp:inline>
        </w:drawing>
      </w:r>
      <w:r w:rsidRPr="00516ECB">
        <w:rPr>
          <w:b w:val="0"/>
          <w:noProof/>
          <w:lang w:val="pt-BR" w:eastAsia="zh-CN" w:bidi="th-TH"/>
        </w:rPr>
        <w:t xml:space="preserve">   </w:t>
      </w:r>
      <w:r w:rsidRPr="00297042">
        <w:rPr>
          <w:b w:val="0"/>
          <w:noProof/>
          <w:lang w:val="en-US" w:eastAsia="zh-CN" w:bidi="th-TH"/>
        </w:rPr>
        <w:drawing>
          <wp:inline distT="0" distB="0" distL="0" distR="0" wp14:anchorId="0D433E35" wp14:editId="5ABD7682">
            <wp:extent cx="819150" cy="162877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1628775"/>
                    </a:xfrm>
                    <a:prstGeom prst="rect">
                      <a:avLst/>
                    </a:prstGeom>
                    <a:noFill/>
                    <a:ln>
                      <a:noFill/>
                    </a:ln>
                  </pic:spPr>
                </pic:pic>
              </a:graphicData>
            </a:graphic>
          </wp:inline>
        </w:drawing>
      </w:r>
      <w:r w:rsidRPr="00516ECB">
        <w:rPr>
          <w:b w:val="0"/>
          <w:noProof/>
          <w:lang w:val="pt-BR" w:eastAsia="zh-CN" w:bidi="th-TH"/>
        </w:rPr>
        <w:t xml:space="preserve">    </w:t>
      </w:r>
      <w:r w:rsidRPr="00297042">
        <w:rPr>
          <w:b w:val="0"/>
          <w:noProof/>
          <w:lang w:val="en-US" w:eastAsia="zh-CN" w:bidi="th-TH"/>
        </w:rPr>
        <w:drawing>
          <wp:inline distT="0" distB="0" distL="0" distR="0" wp14:anchorId="67B6208A" wp14:editId="05127688">
            <wp:extent cx="857250" cy="18859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1885950"/>
                    </a:xfrm>
                    <a:prstGeom prst="rect">
                      <a:avLst/>
                    </a:prstGeom>
                    <a:noFill/>
                    <a:ln>
                      <a:noFill/>
                    </a:ln>
                  </pic:spPr>
                </pic:pic>
              </a:graphicData>
            </a:graphic>
          </wp:inline>
        </w:drawing>
      </w:r>
      <w:r w:rsidRPr="00516ECB">
        <w:rPr>
          <w:b w:val="0"/>
          <w:noProof/>
          <w:lang w:val="pt-BR" w:eastAsia="zh-CN" w:bidi="th-TH"/>
        </w:rPr>
        <w:t xml:space="preserve">    </w:t>
      </w:r>
      <w:r w:rsidRPr="00297042">
        <w:rPr>
          <w:b w:val="0"/>
          <w:noProof/>
          <w:lang w:val="en-US" w:eastAsia="zh-CN" w:bidi="th-TH"/>
        </w:rPr>
        <w:drawing>
          <wp:inline distT="0" distB="0" distL="0" distR="0" wp14:anchorId="510B2B31" wp14:editId="23760F81">
            <wp:extent cx="885825" cy="18859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825" cy="1885950"/>
                    </a:xfrm>
                    <a:prstGeom prst="rect">
                      <a:avLst/>
                    </a:prstGeom>
                    <a:noFill/>
                    <a:ln>
                      <a:noFill/>
                    </a:ln>
                  </pic:spPr>
                </pic:pic>
              </a:graphicData>
            </a:graphic>
          </wp:inline>
        </w:drawing>
      </w:r>
    </w:p>
    <w:p w14:paraId="66FA0A18" w14:textId="55FF2B79" w:rsidR="00710CE5" w:rsidRPr="00516ECB" w:rsidRDefault="00710CE5" w:rsidP="00DD2D67">
      <w:pPr>
        <w:pStyle w:val="En-tte"/>
        <w:tabs>
          <w:tab w:val="clear" w:pos="4536"/>
          <w:tab w:val="clear" w:pos="9072"/>
        </w:tabs>
        <w:rPr>
          <w:b/>
          <w:lang w:val="pt-BR"/>
        </w:rPr>
      </w:pPr>
    </w:p>
    <w:p w14:paraId="702AF2D5" w14:textId="5D4A218F" w:rsidR="00482CD0" w:rsidRPr="00516ECB" w:rsidRDefault="00482CD0">
      <w:pPr>
        <w:pStyle w:val="En-tte"/>
        <w:tabs>
          <w:tab w:val="clear" w:pos="4536"/>
          <w:tab w:val="clear" w:pos="9072"/>
        </w:tabs>
        <w:rPr>
          <w:b/>
          <w:lang w:val="pt-BR"/>
        </w:rPr>
      </w:pPr>
    </w:p>
    <w:p w14:paraId="2A405355" w14:textId="77777777" w:rsidR="00F17B1A" w:rsidRPr="00516ECB" w:rsidRDefault="00F17B1A">
      <w:pPr>
        <w:pStyle w:val="En-tte"/>
        <w:tabs>
          <w:tab w:val="clear" w:pos="4536"/>
          <w:tab w:val="clear" w:pos="9072"/>
        </w:tabs>
        <w:rPr>
          <w:b/>
          <w:lang w:val="pt-BR"/>
        </w:rPr>
      </w:pPr>
    </w:p>
    <w:p w14:paraId="786B15E0" w14:textId="77777777" w:rsidR="00B02416" w:rsidRPr="00516ECB" w:rsidRDefault="00B02416">
      <w:pPr>
        <w:pStyle w:val="En-tte"/>
        <w:tabs>
          <w:tab w:val="clear" w:pos="4536"/>
          <w:tab w:val="clear" w:pos="9072"/>
        </w:tabs>
        <w:rPr>
          <w:b/>
          <w:lang w:val="pt-BR"/>
        </w:rPr>
      </w:pPr>
    </w:p>
    <w:p w14:paraId="3F33246B" w14:textId="77777777" w:rsidR="00B02416" w:rsidRPr="00516ECB" w:rsidRDefault="00B02416">
      <w:pPr>
        <w:pStyle w:val="En-tte"/>
        <w:tabs>
          <w:tab w:val="clear" w:pos="4536"/>
          <w:tab w:val="clear" w:pos="9072"/>
        </w:tabs>
        <w:rPr>
          <w:b/>
          <w:lang w:val="pt-BR"/>
        </w:rPr>
      </w:pPr>
    </w:p>
    <w:p w14:paraId="2808E208" w14:textId="77777777" w:rsidR="00B02416" w:rsidRPr="00516ECB" w:rsidRDefault="00B02416">
      <w:pPr>
        <w:pStyle w:val="En-tte"/>
        <w:tabs>
          <w:tab w:val="clear" w:pos="4536"/>
          <w:tab w:val="clear" w:pos="9072"/>
        </w:tabs>
        <w:rPr>
          <w:b/>
          <w:lang w:val="pt-BR"/>
        </w:rPr>
      </w:pPr>
    </w:p>
    <w:p w14:paraId="77D4197B" w14:textId="77777777" w:rsidR="00B02416" w:rsidRPr="00516ECB" w:rsidRDefault="00B02416">
      <w:pPr>
        <w:pStyle w:val="En-tte"/>
        <w:tabs>
          <w:tab w:val="clear" w:pos="4536"/>
          <w:tab w:val="clear" w:pos="9072"/>
        </w:tabs>
        <w:rPr>
          <w:b/>
          <w:lang w:val="pt-BR"/>
        </w:rPr>
      </w:pPr>
    </w:p>
    <w:p w14:paraId="1EE275F4" w14:textId="77777777" w:rsidR="00B02416" w:rsidRPr="00516ECB" w:rsidRDefault="00B02416">
      <w:pPr>
        <w:pStyle w:val="En-tte"/>
        <w:tabs>
          <w:tab w:val="clear" w:pos="4536"/>
          <w:tab w:val="clear" w:pos="9072"/>
        </w:tabs>
        <w:rPr>
          <w:b/>
          <w:lang w:val="pt-BR"/>
        </w:rPr>
      </w:pPr>
    </w:p>
    <w:p w14:paraId="70D3C543" w14:textId="77777777" w:rsidR="00B02416" w:rsidRPr="00516ECB" w:rsidRDefault="00B02416">
      <w:pPr>
        <w:pStyle w:val="En-tte"/>
        <w:tabs>
          <w:tab w:val="clear" w:pos="4536"/>
          <w:tab w:val="clear" w:pos="9072"/>
        </w:tabs>
        <w:rPr>
          <w:lang w:val="pt-BR"/>
        </w:rPr>
      </w:pPr>
    </w:p>
    <w:p w14:paraId="0743A151" w14:textId="77777777" w:rsidR="00B02416" w:rsidRPr="00516ECB" w:rsidRDefault="00B02416">
      <w:pPr>
        <w:pStyle w:val="En-tte"/>
        <w:tabs>
          <w:tab w:val="clear" w:pos="4536"/>
          <w:tab w:val="clear" w:pos="9072"/>
        </w:tabs>
        <w:rPr>
          <w:lang w:val="pt-BR"/>
        </w:rPr>
      </w:pPr>
    </w:p>
    <w:p w14:paraId="68430053" w14:textId="77777777" w:rsidR="00B02416" w:rsidRPr="00516ECB" w:rsidRDefault="00B02416">
      <w:pPr>
        <w:pStyle w:val="Corpsdetexte"/>
        <w:tabs>
          <w:tab w:val="left" w:pos="993"/>
        </w:tabs>
        <w:rPr>
          <w:sz w:val="20"/>
          <w:lang w:val="pt-BR"/>
        </w:rPr>
      </w:pPr>
    </w:p>
    <w:p w14:paraId="6D7063D7" w14:textId="4C44CBC9" w:rsidR="00B02416" w:rsidRPr="00550979" w:rsidRDefault="00617A54">
      <w:pPr>
        <w:tabs>
          <w:tab w:val="left" w:pos="754"/>
          <w:tab w:val="left" w:pos="993"/>
        </w:tabs>
        <w:rPr>
          <w:b/>
          <w:lang w:val="es-ES"/>
        </w:rPr>
      </w:pPr>
      <w:r w:rsidRPr="00550979">
        <w:rPr>
          <w:b/>
          <w:lang w:val="es-ES"/>
        </w:rPr>
        <w:t>Redacción</w:t>
      </w:r>
      <w:r w:rsidR="00B02416" w:rsidRPr="00550979">
        <w:rPr>
          <w:b/>
          <w:lang w:val="es-ES"/>
        </w:rPr>
        <w:t>:</w:t>
      </w:r>
    </w:p>
    <w:p w14:paraId="5D6830E6" w14:textId="77777777" w:rsidR="002C310C" w:rsidRPr="00426ED9" w:rsidRDefault="002C310C" w:rsidP="002C310C">
      <w:pPr>
        <w:tabs>
          <w:tab w:val="left" w:pos="567"/>
        </w:tabs>
        <w:ind w:right="480"/>
        <w:rPr>
          <w:lang w:val="es-ES"/>
        </w:rPr>
      </w:pPr>
      <w:r w:rsidRPr="00426ED9">
        <w:rPr>
          <w:lang w:val="es-ES"/>
        </w:rPr>
        <w:t>Instrumentos WIKA S.A.U.</w:t>
      </w:r>
    </w:p>
    <w:p w14:paraId="0128CCA3" w14:textId="77777777" w:rsidR="002C310C" w:rsidRDefault="002C310C" w:rsidP="002C310C">
      <w:pPr>
        <w:tabs>
          <w:tab w:val="left" w:pos="567"/>
        </w:tabs>
        <w:ind w:right="480"/>
        <w:rPr>
          <w:lang w:val="es-ES"/>
        </w:rPr>
      </w:pPr>
      <w:r w:rsidRPr="00C522B7">
        <w:rPr>
          <w:lang w:val="es-ES"/>
        </w:rPr>
        <w:t xml:space="preserve">Laia </w:t>
      </w:r>
      <w:proofErr w:type="spellStart"/>
      <w:r w:rsidRPr="00C522B7">
        <w:rPr>
          <w:lang w:val="es-ES"/>
        </w:rPr>
        <w:t>Viñolas</w:t>
      </w:r>
      <w:proofErr w:type="spellEnd"/>
    </w:p>
    <w:p w14:paraId="153F3DF8" w14:textId="77777777" w:rsidR="002C310C" w:rsidRDefault="002C310C" w:rsidP="002C310C">
      <w:pPr>
        <w:tabs>
          <w:tab w:val="left" w:pos="567"/>
        </w:tabs>
        <w:ind w:right="480"/>
        <w:rPr>
          <w:lang w:val="es-ES"/>
        </w:rPr>
      </w:pPr>
      <w:r w:rsidRPr="00C522B7">
        <w:rPr>
          <w:lang w:val="es-ES"/>
        </w:rPr>
        <w:t xml:space="preserve">Marketing </w:t>
      </w:r>
      <w:proofErr w:type="spellStart"/>
      <w:r w:rsidRPr="00C522B7">
        <w:rPr>
          <w:lang w:val="es-ES"/>
        </w:rPr>
        <w:t>Support</w:t>
      </w:r>
      <w:proofErr w:type="spellEnd"/>
    </w:p>
    <w:p w14:paraId="363901C7" w14:textId="77777777" w:rsidR="002C310C" w:rsidRDefault="002C310C" w:rsidP="002C310C">
      <w:pPr>
        <w:tabs>
          <w:tab w:val="left" w:pos="567"/>
        </w:tabs>
        <w:ind w:right="480"/>
        <w:rPr>
          <w:lang w:val="es-ES"/>
        </w:rPr>
      </w:pPr>
      <w:r w:rsidRPr="00C522B7">
        <w:rPr>
          <w:lang w:val="es-ES"/>
        </w:rPr>
        <w:t xml:space="preserve">Calle Josep </w:t>
      </w:r>
      <w:proofErr w:type="spellStart"/>
      <w:r w:rsidRPr="00C522B7">
        <w:rPr>
          <w:lang w:val="es-ES"/>
        </w:rPr>
        <w:t>Carner</w:t>
      </w:r>
      <w:proofErr w:type="spellEnd"/>
      <w:r w:rsidRPr="00C522B7">
        <w:rPr>
          <w:lang w:val="es-ES"/>
        </w:rPr>
        <w:t xml:space="preserve"> 11 </w:t>
      </w:r>
      <w:r>
        <w:rPr>
          <w:lang w:val="es-ES"/>
        </w:rPr>
        <w:t>–</w:t>
      </w:r>
      <w:r w:rsidRPr="00C522B7">
        <w:rPr>
          <w:lang w:val="es-ES"/>
        </w:rPr>
        <w:t xml:space="preserve"> 17</w:t>
      </w:r>
    </w:p>
    <w:p w14:paraId="4405F47D" w14:textId="77777777" w:rsidR="002C310C" w:rsidRDefault="002C310C" w:rsidP="002C310C">
      <w:pPr>
        <w:tabs>
          <w:tab w:val="left" w:pos="567"/>
        </w:tabs>
        <w:ind w:right="480"/>
        <w:rPr>
          <w:lang w:val="es-ES"/>
        </w:rPr>
      </w:pPr>
      <w:r w:rsidRPr="00C522B7">
        <w:rPr>
          <w:lang w:val="es-ES"/>
        </w:rPr>
        <w:t>08205 Sabadell (Barcelona) / España</w:t>
      </w:r>
    </w:p>
    <w:p w14:paraId="3381429E" w14:textId="77777777" w:rsidR="002C310C" w:rsidRDefault="002C310C" w:rsidP="002C310C">
      <w:pPr>
        <w:tabs>
          <w:tab w:val="left" w:pos="567"/>
        </w:tabs>
        <w:ind w:right="480"/>
        <w:rPr>
          <w:lang w:val="es-ES"/>
        </w:rPr>
      </w:pPr>
      <w:r w:rsidRPr="00C522B7">
        <w:rPr>
          <w:lang w:val="es-ES"/>
        </w:rPr>
        <w:t>Tel. +34 933 933 680</w:t>
      </w:r>
    </w:p>
    <w:p w14:paraId="00E56DC3" w14:textId="77777777" w:rsidR="002C310C" w:rsidRDefault="002C310C" w:rsidP="002C310C">
      <w:pPr>
        <w:tabs>
          <w:tab w:val="left" w:pos="567"/>
        </w:tabs>
        <w:ind w:right="480"/>
        <w:rPr>
          <w:lang w:val="es-ES"/>
        </w:rPr>
      </w:pPr>
      <w:r w:rsidRPr="00C522B7">
        <w:rPr>
          <w:lang w:val="es-ES"/>
        </w:rPr>
        <w:t>Fax +34 933 938 666</w:t>
      </w:r>
    </w:p>
    <w:p w14:paraId="7CB07474" w14:textId="77777777" w:rsidR="002C310C" w:rsidRDefault="00A20A4E" w:rsidP="002C310C">
      <w:pPr>
        <w:tabs>
          <w:tab w:val="left" w:pos="567"/>
        </w:tabs>
        <w:ind w:right="480"/>
        <w:rPr>
          <w:lang w:val="es-ES"/>
        </w:rPr>
      </w:pPr>
      <w:hyperlink r:id="rId15" w:history="1">
        <w:r w:rsidR="002C310C" w:rsidRPr="00DB7DDC">
          <w:rPr>
            <w:rStyle w:val="Lienhypertexte"/>
            <w:lang w:val="es-ES"/>
          </w:rPr>
          <w:t>marketing.es@wika.com</w:t>
        </w:r>
      </w:hyperlink>
    </w:p>
    <w:p w14:paraId="18708333" w14:textId="77777777" w:rsidR="002C310C" w:rsidRDefault="00A20A4E" w:rsidP="002C310C">
      <w:pPr>
        <w:tabs>
          <w:tab w:val="left" w:pos="567"/>
        </w:tabs>
        <w:ind w:right="480"/>
        <w:rPr>
          <w:lang w:val="es-ES"/>
        </w:rPr>
      </w:pPr>
      <w:hyperlink r:id="rId16" w:history="1">
        <w:r w:rsidR="002C310C" w:rsidRPr="00DB7DDC">
          <w:rPr>
            <w:rStyle w:val="Lienhypertexte"/>
            <w:lang w:val="es-ES"/>
          </w:rPr>
          <w:t>www.wika.es</w:t>
        </w:r>
      </w:hyperlink>
    </w:p>
    <w:p w14:paraId="77E813AC" w14:textId="77777777" w:rsidR="00B02416" w:rsidRPr="00612398" w:rsidRDefault="00B02416">
      <w:pPr>
        <w:tabs>
          <w:tab w:val="left" w:pos="567"/>
        </w:tabs>
        <w:ind w:right="480"/>
        <w:rPr>
          <w:rFonts w:cs="Arial"/>
          <w:position w:val="6"/>
          <w:lang w:val="es-ES"/>
        </w:rPr>
      </w:pPr>
    </w:p>
    <w:p w14:paraId="1D47AA18" w14:textId="5837034D" w:rsidR="00B02416" w:rsidRPr="00612398" w:rsidRDefault="002C310C">
      <w:pPr>
        <w:rPr>
          <w:rFonts w:cs="Arial"/>
          <w:lang w:val="es-ES"/>
        </w:rPr>
      </w:pPr>
      <w:r w:rsidRPr="00612398">
        <w:rPr>
          <w:rFonts w:cs="Arial"/>
          <w:lang w:val="es-ES"/>
        </w:rPr>
        <w:t xml:space="preserve">Nota de prensa </w:t>
      </w:r>
      <w:r w:rsidR="00B02416" w:rsidRPr="00612398">
        <w:rPr>
          <w:rFonts w:cs="Arial"/>
          <w:lang w:val="es-ES"/>
        </w:rPr>
        <w:t>WIKA</w:t>
      </w:r>
      <w:r w:rsidR="00550979" w:rsidRPr="00612398">
        <w:rPr>
          <w:rFonts w:cs="Arial"/>
          <w:lang w:val="es-ES"/>
        </w:rPr>
        <w:t xml:space="preserve"> </w:t>
      </w:r>
      <w:r w:rsidR="00FF3D63" w:rsidRPr="00612398">
        <w:rPr>
          <w:rFonts w:cs="Arial"/>
          <w:lang w:val="es-ES"/>
        </w:rPr>
        <w:t>0</w:t>
      </w:r>
      <w:r w:rsidR="00516ECB">
        <w:rPr>
          <w:rFonts w:cs="Arial"/>
          <w:lang w:val="es-ES"/>
        </w:rPr>
        <w:t>2a</w:t>
      </w:r>
      <w:r w:rsidR="00FF3D63" w:rsidRPr="00612398">
        <w:rPr>
          <w:rFonts w:cs="Arial"/>
          <w:lang w:val="es-ES"/>
        </w:rPr>
        <w:t>/2021</w:t>
      </w:r>
    </w:p>
    <w:p w14:paraId="615510E4" w14:textId="77777777" w:rsidR="00B02416" w:rsidRPr="00612398" w:rsidRDefault="00B02416">
      <w:pPr>
        <w:pStyle w:val="Corpsdetexte"/>
        <w:rPr>
          <w:b w:val="0"/>
          <w:sz w:val="20"/>
          <w:lang w:val="es-ES"/>
        </w:rPr>
      </w:pPr>
    </w:p>
    <w:sectPr w:rsidR="00B02416" w:rsidRPr="00612398">
      <w:headerReference w:type="default" r:id="rId17"/>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2FC24" w14:textId="77777777" w:rsidR="000C74DD" w:rsidRDefault="000C74DD">
      <w:r>
        <w:separator/>
      </w:r>
    </w:p>
  </w:endnote>
  <w:endnote w:type="continuationSeparator" w:id="0">
    <w:p w14:paraId="319B5551" w14:textId="77777777" w:rsidR="000C74DD" w:rsidRDefault="000C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5BD1C" w14:textId="77777777" w:rsidR="000C74DD" w:rsidRDefault="000C74DD">
      <w:r>
        <w:separator/>
      </w:r>
    </w:p>
  </w:footnote>
  <w:footnote w:type="continuationSeparator" w:id="0">
    <w:p w14:paraId="2B58C353" w14:textId="77777777" w:rsidR="000C74DD" w:rsidRDefault="000C7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9FF5" w14:textId="77777777" w:rsidR="00B02416" w:rsidRDefault="00E20003">
    <w:pPr>
      <w:pStyle w:val="En-tte"/>
    </w:pPr>
    <w:r>
      <w:rPr>
        <w:noProof/>
        <w:lang w:val="en-US" w:eastAsia="zh-CN" w:bidi="th-TH"/>
      </w:rPr>
      <mc:AlternateContent>
        <mc:Choice Requires="wps">
          <w:drawing>
            <wp:anchor distT="0" distB="0" distL="114300" distR="114300" simplePos="0" relativeHeight="251657216" behindDoc="0" locked="0" layoutInCell="0" allowOverlap="1" wp14:anchorId="53240366" wp14:editId="27A33D91">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9F02" w14:textId="2E180FBD" w:rsidR="00B02416" w:rsidRPr="00550979" w:rsidRDefault="00550979">
                          <w:pPr>
                            <w:pStyle w:val="Titre2"/>
                            <w:jc w:val="center"/>
                            <w:rPr>
                              <w:rFonts w:ascii="Helvetica 75 Bold" w:hAnsi="Helvetica 75 Bold"/>
                              <w:color w:val="C0C0C0"/>
                              <w:sz w:val="136"/>
                              <w:lang w:val="it-IT"/>
                            </w:rPr>
                          </w:pPr>
                          <w:r>
                            <w:rPr>
                              <w:rFonts w:ascii="Helvetica 75 Bold" w:hAnsi="Helvetica 75 Bold"/>
                              <w:color w:val="C0C0C0"/>
                              <w:sz w:val="136"/>
                              <w:lang w:val="it-IT"/>
                            </w:rPr>
                            <w:t xml:space="preserve">Nota de </w:t>
                          </w:r>
                          <w:proofErr w:type="spellStart"/>
                          <w:r>
                            <w:rPr>
                              <w:rFonts w:ascii="Helvetica 75 Bold" w:hAnsi="Helvetica 75 Bold"/>
                              <w:color w:val="C0C0C0"/>
                              <w:sz w:val="136"/>
                              <w:lang w:val="it-IT"/>
                            </w:rPr>
                            <w:t>prensa</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40366"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36F29F02" w14:textId="2E180FBD" w:rsidR="00B02416" w:rsidRPr="00550979" w:rsidRDefault="00550979">
                    <w:pPr>
                      <w:pStyle w:val="Titre2"/>
                      <w:jc w:val="center"/>
                      <w:rPr>
                        <w:rFonts w:ascii="Helvetica 75 Bold" w:hAnsi="Helvetica 75 Bold"/>
                        <w:color w:val="C0C0C0"/>
                        <w:sz w:val="136"/>
                        <w:lang w:val="it-IT"/>
                      </w:rPr>
                    </w:pPr>
                    <w:r>
                      <w:rPr>
                        <w:rFonts w:ascii="Helvetica 75 Bold" w:hAnsi="Helvetica 75 Bold"/>
                        <w:color w:val="C0C0C0"/>
                        <w:sz w:val="136"/>
                        <w:lang w:val="it-IT"/>
                      </w:rPr>
                      <w:t xml:space="preserve">Nota de </w:t>
                    </w:r>
                    <w:proofErr w:type="spellStart"/>
                    <w:r>
                      <w:rPr>
                        <w:rFonts w:ascii="Helvetica 75 Bold" w:hAnsi="Helvetica 75 Bold"/>
                        <w:color w:val="C0C0C0"/>
                        <w:sz w:val="136"/>
                        <w:lang w:val="it-IT"/>
                      </w:rPr>
                      <w:t>prensa</w:t>
                    </w:r>
                    <w:proofErr w:type="spellEnd"/>
                  </w:p>
                </w:txbxContent>
              </v:textbox>
            </v:shape>
          </w:pict>
        </mc:Fallback>
      </mc:AlternateContent>
    </w:r>
    <w:r>
      <w:rPr>
        <w:noProof/>
        <w:lang w:val="en-US" w:eastAsia="zh-CN" w:bidi="th-TH"/>
      </w:rPr>
      <mc:AlternateContent>
        <mc:Choice Requires="wps">
          <w:drawing>
            <wp:anchor distT="0" distB="0" distL="114300" distR="114300" simplePos="0" relativeHeight="251658240" behindDoc="0" locked="0" layoutInCell="0" allowOverlap="1" wp14:anchorId="3C7DB187" wp14:editId="3D105751">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886D" w14:textId="77777777" w:rsidR="00B02416" w:rsidRDefault="00E20003">
                          <w:pPr>
                            <w:rPr>
                              <w:color w:val="C0C0C0"/>
                            </w:rPr>
                          </w:pPr>
                          <w:r>
                            <w:rPr>
                              <w:noProof/>
                              <w:color w:val="C0C0C0"/>
                              <w:lang w:val="en-US" w:eastAsia="zh-CN" w:bidi="th-TH"/>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DB187"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4835886D" w14:textId="77777777" w:rsidR="00B02416" w:rsidRDefault="00E20003">
                    <w:pPr>
                      <w:rPr>
                        <w:color w:val="C0C0C0"/>
                      </w:rPr>
                    </w:pPr>
                    <w:r>
                      <w:rPr>
                        <w:noProof/>
                        <w:color w:val="C0C0C0"/>
                        <w:lang w:val="en-US" w:eastAsia="zh-CN" w:bidi="th-TH"/>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de-CH" w:vendorID="64" w:dllVersion="131078" w:nlCheck="1" w:checkStyle="1"/>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EA9"/>
    <w:rsid w:val="000161BB"/>
    <w:rsid w:val="000316C3"/>
    <w:rsid w:val="000321D3"/>
    <w:rsid w:val="00037BD0"/>
    <w:rsid w:val="00054CCD"/>
    <w:rsid w:val="000707DE"/>
    <w:rsid w:val="00073F65"/>
    <w:rsid w:val="00077317"/>
    <w:rsid w:val="00085067"/>
    <w:rsid w:val="000A0CB2"/>
    <w:rsid w:val="000A1005"/>
    <w:rsid w:val="000B0B37"/>
    <w:rsid w:val="000B3D75"/>
    <w:rsid w:val="000C148A"/>
    <w:rsid w:val="000C74DD"/>
    <w:rsid w:val="000D3B9F"/>
    <w:rsid w:val="000D69EA"/>
    <w:rsid w:val="000E18DC"/>
    <w:rsid w:val="000E2C4B"/>
    <w:rsid w:val="001038E3"/>
    <w:rsid w:val="00105A79"/>
    <w:rsid w:val="001118F3"/>
    <w:rsid w:val="001215A6"/>
    <w:rsid w:val="00127DB8"/>
    <w:rsid w:val="001343A6"/>
    <w:rsid w:val="00154F72"/>
    <w:rsid w:val="001555E8"/>
    <w:rsid w:val="00164018"/>
    <w:rsid w:val="00165D8C"/>
    <w:rsid w:val="00180D91"/>
    <w:rsid w:val="001845C6"/>
    <w:rsid w:val="00194477"/>
    <w:rsid w:val="00194700"/>
    <w:rsid w:val="001A126B"/>
    <w:rsid w:val="001A177E"/>
    <w:rsid w:val="001A3136"/>
    <w:rsid w:val="001B1DA2"/>
    <w:rsid w:val="001C0CAA"/>
    <w:rsid w:val="001C523B"/>
    <w:rsid w:val="001E1087"/>
    <w:rsid w:val="001E6072"/>
    <w:rsid w:val="001F5C5E"/>
    <w:rsid w:val="00210005"/>
    <w:rsid w:val="002201E0"/>
    <w:rsid w:val="00220C1D"/>
    <w:rsid w:val="00244990"/>
    <w:rsid w:val="002600A8"/>
    <w:rsid w:val="00272512"/>
    <w:rsid w:val="00282905"/>
    <w:rsid w:val="00291653"/>
    <w:rsid w:val="002B1B8C"/>
    <w:rsid w:val="002C310C"/>
    <w:rsid w:val="002E03F7"/>
    <w:rsid w:val="002E0864"/>
    <w:rsid w:val="002E26C4"/>
    <w:rsid w:val="002E6177"/>
    <w:rsid w:val="002F39F5"/>
    <w:rsid w:val="00314078"/>
    <w:rsid w:val="003157EB"/>
    <w:rsid w:val="003171B5"/>
    <w:rsid w:val="0032638B"/>
    <w:rsid w:val="00351147"/>
    <w:rsid w:val="003567AD"/>
    <w:rsid w:val="00363701"/>
    <w:rsid w:val="00372944"/>
    <w:rsid w:val="00374872"/>
    <w:rsid w:val="00376710"/>
    <w:rsid w:val="0037709C"/>
    <w:rsid w:val="00377A0B"/>
    <w:rsid w:val="00381A47"/>
    <w:rsid w:val="00385DB1"/>
    <w:rsid w:val="003B5CCA"/>
    <w:rsid w:val="003B654C"/>
    <w:rsid w:val="003C0682"/>
    <w:rsid w:val="003C1EC3"/>
    <w:rsid w:val="003C6975"/>
    <w:rsid w:val="003C6E5A"/>
    <w:rsid w:val="003D6883"/>
    <w:rsid w:val="003E0C1F"/>
    <w:rsid w:val="003E1BD5"/>
    <w:rsid w:val="003E3E8A"/>
    <w:rsid w:val="003F2D65"/>
    <w:rsid w:val="003F3B90"/>
    <w:rsid w:val="003F737C"/>
    <w:rsid w:val="00404625"/>
    <w:rsid w:val="00426ED9"/>
    <w:rsid w:val="0044082E"/>
    <w:rsid w:val="00456D31"/>
    <w:rsid w:val="0046622E"/>
    <w:rsid w:val="0046686A"/>
    <w:rsid w:val="004705E5"/>
    <w:rsid w:val="00471B15"/>
    <w:rsid w:val="00474D5C"/>
    <w:rsid w:val="00475212"/>
    <w:rsid w:val="00482839"/>
    <w:rsid w:val="00482CD0"/>
    <w:rsid w:val="004852D4"/>
    <w:rsid w:val="0049297D"/>
    <w:rsid w:val="0049465C"/>
    <w:rsid w:val="00497816"/>
    <w:rsid w:val="004A1932"/>
    <w:rsid w:val="004A3EAB"/>
    <w:rsid w:val="004A7034"/>
    <w:rsid w:val="004B0483"/>
    <w:rsid w:val="004C12A7"/>
    <w:rsid w:val="004D2995"/>
    <w:rsid w:val="004E2919"/>
    <w:rsid w:val="004E3590"/>
    <w:rsid w:val="004E7285"/>
    <w:rsid w:val="004F077E"/>
    <w:rsid w:val="0050007B"/>
    <w:rsid w:val="005112B3"/>
    <w:rsid w:val="005119B7"/>
    <w:rsid w:val="00516ECB"/>
    <w:rsid w:val="005350E7"/>
    <w:rsid w:val="00546D2A"/>
    <w:rsid w:val="00550979"/>
    <w:rsid w:val="005543F4"/>
    <w:rsid w:val="00557F44"/>
    <w:rsid w:val="00557F5E"/>
    <w:rsid w:val="00574C67"/>
    <w:rsid w:val="0058003C"/>
    <w:rsid w:val="005A0EC4"/>
    <w:rsid w:val="005B70E2"/>
    <w:rsid w:val="005C3E1E"/>
    <w:rsid w:val="005C4D8E"/>
    <w:rsid w:val="005F157A"/>
    <w:rsid w:val="005F367E"/>
    <w:rsid w:val="0060171D"/>
    <w:rsid w:val="00601863"/>
    <w:rsid w:val="0060504C"/>
    <w:rsid w:val="00612398"/>
    <w:rsid w:val="006155BD"/>
    <w:rsid w:val="00617A49"/>
    <w:rsid w:val="00617A54"/>
    <w:rsid w:val="00617E61"/>
    <w:rsid w:val="00630B9B"/>
    <w:rsid w:val="00632089"/>
    <w:rsid w:val="00633842"/>
    <w:rsid w:val="006347E0"/>
    <w:rsid w:val="006359AA"/>
    <w:rsid w:val="00637471"/>
    <w:rsid w:val="00641F3F"/>
    <w:rsid w:val="00643995"/>
    <w:rsid w:val="00647B60"/>
    <w:rsid w:val="006525E1"/>
    <w:rsid w:val="00653357"/>
    <w:rsid w:val="006604E2"/>
    <w:rsid w:val="006645D6"/>
    <w:rsid w:val="0066461C"/>
    <w:rsid w:val="0067020C"/>
    <w:rsid w:val="00670CE4"/>
    <w:rsid w:val="00671B63"/>
    <w:rsid w:val="00675792"/>
    <w:rsid w:val="0068032C"/>
    <w:rsid w:val="00691509"/>
    <w:rsid w:val="006A264E"/>
    <w:rsid w:val="006C2308"/>
    <w:rsid w:val="006C544D"/>
    <w:rsid w:val="006D1F5A"/>
    <w:rsid w:val="006D2745"/>
    <w:rsid w:val="006D4EDD"/>
    <w:rsid w:val="006D5C54"/>
    <w:rsid w:val="006E1CD0"/>
    <w:rsid w:val="006F2B9C"/>
    <w:rsid w:val="006F5E44"/>
    <w:rsid w:val="007072F4"/>
    <w:rsid w:val="00710CE5"/>
    <w:rsid w:val="00711B02"/>
    <w:rsid w:val="00716879"/>
    <w:rsid w:val="00735CED"/>
    <w:rsid w:val="00742E6D"/>
    <w:rsid w:val="0076072C"/>
    <w:rsid w:val="007801FD"/>
    <w:rsid w:val="00780B3B"/>
    <w:rsid w:val="0079281B"/>
    <w:rsid w:val="007A036B"/>
    <w:rsid w:val="007A1E37"/>
    <w:rsid w:val="007C30C6"/>
    <w:rsid w:val="007E0B5E"/>
    <w:rsid w:val="007E391F"/>
    <w:rsid w:val="007E6A15"/>
    <w:rsid w:val="00817E93"/>
    <w:rsid w:val="00830B79"/>
    <w:rsid w:val="00832A27"/>
    <w:rsid w:val="00841001"/>
    <w:rsid w:val="0084686B"/>
    <w:rsid w:val="00857809"/>
    <w:rsid w:val="008612B2"/>
    <w:rsid w:val="00863B30"/>
    <w:rsid w:val="008643B2"/>
    <w:rsid w:val="00864E8A"/>
    <w:rsid w:val="008744CC"/>
    <w:rsid w:val="00874FFA"/>
    <w:rsid w:val="0089250A"/>
    <w:rsid w:val="00892952"/>
    <w:rsid w:val="00897C3C"/>
    <w:rsid w:val="008D3B94"/>
    <w:rsid w:val="008E253F"/>
    <w:rsid w:val="008E3BAE"/>
    <w:rsid w:val="008E5EA4"/>
    <w:rsid w:val="008E7774"/>
    <w:rsid w:val="008F5575"/>
    <w:rsid w:val="00904599"/>
    <w:rsid w:val="009171E4"/>
    <w:rsid w:val="0093639C"/>
    <w:rsid w:val="009467FA"/>
    <w:rsid w:val="00947BD8"/>
    <w:rsid w:val="00963F23"/>
    <w:rsid w:val="00987F37"/>
    <w:rsid w:val="009967EF"/>
    <w:rsid w:val="009A29CD"/>
    <w:rsid w:val="009A2A9B"/>
    <w:rsid w:val="009A4F9A"/>
    <w:rsid w:val="009A6DCA"/>
    <w:rsid w:val="009A7799"/>
    <w:rsid w:val="009B3B38"/>
    <w:rsid w:val="009C5A29"/>
    <w:rsid w:val="009D3D2C"/>
    <w:rsid w:val="009D40A1"/>
    <w:rsid w:val="009E4A2E"/>
    <w:rsid w:val="009E4A88"/>
    <w:rsid w:val="00A12774"/>
    <w:rsid w:val="00A13127"/>
    <w:rsid w:val="00A20A4E"/>
    <w:rsid w:val="00A21782"/>
    <w:rsid w:val="00A251B3"/>
    <w:rsid w:val="00A32C54"/>
    <w:rsid w:val="00A463DF"/>
    <w:rsid w:val="00A47A9E"/>
    <w:rsid w:val="00A73320"/>
    <w:rsid w:val="00A75BF2"/>
    <w:rsid w:val="00A94961"/>
    <w:rsid w:val="00AC4BA2"/>
    <w:rsid w:val="00AC5BB8"/>
    <w:rsid w:val="00AE0961"/>
    <w:rsid w:val="00AE32E6"/>
    <w:rsid w:val="00AF4647"/>
    <w:rsid w:val="00B02416"/>
    <w:rsid w:val="00B141CB"/>
    <w:rsid w:val="00B15E31"/>
    <w:rsid w:val="00B34F87"/>
    <w:rsid w:val="00B35C35"/>
    <w:rsid w:val="00B51B9B"/>
    <w:rsid w:val="00B74A9A"/>
    <w:rsid w:val="00B76096"/>
    <w:rsid w:val="00B81CD1"/>
    <w:rsid w:val="00B93CEE"/>
    <w:rsid w:val="00B93D09"/>
    <w:rsid w:val="00B96C6F"/>
    <w:rsid w:val="00BC2020"/>
    <w:rsid w:val="00BC39BA"/>
    <w:rsid w:val="00BE5360"/>
    <w:rsid w:val="00BE598D"/>
    <w:rsid w:val="00BF1D5B"/>
    <w:rsid w:val="00C05BE1"/>
    <w:rsid w:val="00C068D8"/>
    <w:rsid w:val="00C11FF3"/>
    <w:rsid w:val="00C12E94"/>
    <w:rsid w:val="00C264AC"/>
    <w:rsid w:val="00C37C40"/>
    <w:rsid w:val="00C43751"/>
    <w:rsid w:val="00C479A9"/>
    <w:rsid w:val="00C50180"/>
    <w:rsid w:val="00C5297F"/>
    <w:rsid w:val="00C57C11"/>
    <w:rsid w:val="00C62791"/>
    <w:rsid w:val="00C677A3"/>
    <w:rsid w:val="00C82345"/>
    <w:rsid w:val="00C87BF7"/>
    <w:rsid w:val="00CA1229"/>
    <w:rsid w:val="00CB479D"/>
    <w:rsid w:val="00CC6189"/>
    <w:rsid w:val="00CE63EA"/>
    <w:rsid w:val="00D01BDB"/>
    <w:rsid w:val="00D0643B"/>
    <w:rsid w:val="00D07AAA"/>
    <w:rsid w:val="00D26913"/>
    <w:rsid w:val="00D40FED"/>
    <w:rsid w:val="00D434BE"/>
    <w:rsid w:val="00D44F1C"/>
    <w:rsid w:val="00D83612"/>
    <w:rsid w:val="00DA0534"/>
    <w:rsid w:val="00DB293A"/>
    <w:rsid w:val="00DC19CA"/>
    <w:rsid w:val="00DD2D67"/>
    <w:rsid w:val="00DD4130"/>
    <w:rsid w:val="00DE36CE"/>
    <w:rsid w:val="00DF2329"/>
    <w:rsid w:val="00E0124C"/>
    <w:rsid w:val="00E041D8"/>
    <w:rsid w:val="00E12172"/>
    <w:rsid w:val="00E16F1B"/>
    <w:rsid w:val="00E20003"/>
    <w:rsid w:val="00E263A7"/>
    <w:rsid w:val="00E2739A"/>
    <w:rsid w:val="00E34370"/>
    <w:rsid w:val="00E34AB0"/>
    <w:rsid w:val="00E35793"/>
    <w:rsid w:val="00E55476"/>
    <w:rsid w:val="00E85CA1"/>
    <w:rsid w:val="00E9044A"/>
    <w:rsid w:val="00EA5747"/>
    <w:rsid w:val="00EE13BC"/>
    <w:rsid w:val="00EE561E"/>
    <w:rsid w:val="00EF2D69"/>
    <w:rsid w:val="00EF64B2"/>
    <w:rsid w:val="00F00091"/>
    <w:rsid w:val="00F0270A"/>
    <w:rsid w:val="00F02CCF"/>
    <w:rsid w:val="00F151F7"/>
    <w:rsid w:val="00F17B1A"/>
    <w:rsid w:val="00F251D9"/>
    <w:rsid w:val="00F3657A"/>
    <w:rsid w:val="00F37052"/>
    <w:rsid w:val="00F506A3"/>
    <w:rsid w:val="00F74D0C"/>
    <w:rsid w:val="00F8289A"/>
    <w:rsid w:val="00F91DDF"/>
    <w:rsid w:val="00FA05D2"/>
    <w:rsid w:val="00FA3544"/>
    <w:rsid w:val="00FA5C0F"/>
    <w:rsid w:val="00FB0A1C"/>
    <w:rsid w:val="00FC122C"/>
    <w:rsid w:val="00FD1787"/>
    <w:rsid w:val="00FE71F4"/>
    <w:rsid w:val="00FF08AA"/>
    <w:rsid w:val="00FF345D"/>
    <w:rsid w:val="00FF3D63"/>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962B0F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Titre2">
    <w:name w:val="heading 2"/>
    <w:basedOn w:val="Normal"/>
    <w:next w:val="Normal"/>
    <w:qFormat/>
    <w:pPr>
      <w:keepNext/>
      <w:outlineLvl w:val="1"/>
    </w:pPr>
    <w:rPr>
      <w:sz w:val="1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Corpsdetexte">
    <w:name w:val="Body Text"/>
    <w:basedOn w:val="Normal"/>
    <w:link w:val="CorpsdetexteCar"/>
    <w:semiHidden/>
    <w:rPr>
      <w:rFonts w:cs="Arial"/>
      <w:b/>
      <w:bCs/>
      <w:sz w:val="22"/>
      <w:szCs w:val="22"/>
    </w:rPr>
  </w:style>
  <w:style w:type="paragraph" w:styleId="Corpsdetexte3">
    <w:name w:val="Body Text 3"/>
    <w:basedOn w:val="Normal"/>
    <w:semiHidden/>
    <w:pPr>
      <w:ind w:right="480"/>
    </w:pPr>
    <w:rPr>
      <w:rFonts w:cs="Arial"/>
    </w:rPr>
  </w:style>
  <w:style w:type="character" w:styleId="Lienhypertexte">
    <w:name w:val="Hyperlink"/>
    <w:semiHidden/>
    <w:rPr>
      <w:color w:val="0000FF"/>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basedOn w:val="Policepardfaut"/>
    <w:uiPriority w:val="99"/>
    <w:semiHidden/>
    <w:unhideWhenUsed/>
    <w:rsid w:val="00E35793"/>
    <w:rPr>
      <w:sz w:val="16"/>
      <w:szCs w:val="16"/>
    </w:rPr>
  </w:style>
  <w:style w:type="paragraph" w:styleId="Commentaire">
    <w:name w:val="annotation text"/>
    <w:basedOn w:val="Normal"/>
    <w:link w:val="CommentaireCar"/>
    <w:uiPriority w:val="99"/>
    <w:semiHidden/>
    <w:unhideWhenUsed/>
    <w:rsid w:val="00E35793"/>
  </w:style>
  <w:style w:type="character" w:customStyle="1" w:styleId="CommentaireCar">
    <w:name w:val="Commentaire Car"/>
    <w:basedOn w:val="Policepardfaut"/>
    <w:link w:val="Commentaire"/>
    <w:uiPriority w:val="99"/>
    <w:semiHidden/>
    <w:rsid w:val="00E35793"/>
    <w:rPr>
      <w:rFonts w:ascii="Arial" w:hAnsi="Arial"/>
    </w:rPr>
  </w:style>
  <w:style w:type="paragraph" w:styleId="Objetducommentaire">
    <w:name w:val="annotation subject"/>
    <w:basedOn w:val="Commentaire"/>
    <w:next w:val="Commentaire"/>
    <w:link w:val="ObjetducommentaireCar"/>
    <w:uiPriority w:val="99"/>
    <w:semiHidden/>
    <w:unhideWhenUsed/>
    <w:rsid w:val="00E35793"/>
    <w:rPr>
      <w:b/>
      <w:bCs/>
    </w:rPr>
  </w:style>
  <w:style w:type="character" w:customStyle="1" w:styleId="ObjetducommentaireCar">
    <w:name w:val="Objet du commentaire Car"/>
    <w:basedOn w:val="CommentaireCar"/>
    <w:link w:val="Objetducommentaire"/>
    <w:uiPriority w:val="99"/>
    <w:semiHidden/>
    <w:rsid w:val="00E35793"/>
    <w:rPr>
      <w:rFonts w:ascii="Arial" w:hAnsi="Arial"/>
      <w:b/>
      <w:bCs/>
    </w:rPr>
  </w:style>
  <w:style w:type="paragraph" w:styleId="Rvision">
    <w:name w:val="Revision"/>
    <w:hidden/>
    <w:uiPriority w:val="99"/>
    <w:semiHidden/>
    <w:rsid w:val="00C37C40"/>
    <w:rPr>
      <w:rFonts w:ascii="Arial" w:hAnsi="Arial"/>
    </w:rPr>
  </w:style>
  <w:style w:type="character" w:customStyle="1" w:styleId="En-tteCar">
    <w:name w:val="En-tête Car"/>
    <w:basedOn w:val="Policepardfaut"/>
    <w:link w:val="En-tte"/>
    <w:semiHidden/>
    <w:rsid w:val="00904599"/>
    <w:rPr>
      <w:rFonts w:ascii="Arial" w:hAnsi="Arial"/>
    </w:rPr>
  </w:style>
  <w:style w:type="character" w:customStyle="1" w:styleId="CorpsdetexteCar">
    <w:name w:val="Corps de texte Car"/>
    <w:link w:val="Corpsdetexte"/>
    <w:semiHidden/>
    <w:rsid w:val="00516ECB"/>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ika.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marketing.es@wika.com" TargetMode="External"/><Relationship Id="rId10" Type="http://schemas.openxmlformats.org/officeDocument/2006/relationships/hyperlink" Target="http://www.wika.d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2" ma:contentTypeDescription="" ma:contentTypeScope="" ma:versionID="e1cc5ca6712e03c8ee1b4e2e582b1ce9">
  <xsd:schema xmlns:xsd="http://www.w3.org/2001/XMLSchema" xmlns:xs="http://www.w3.org/2001/XMLSchema" xmlns:p="http://schemas.microsoft.com/office/2006/metadata/properties" xmlns:ns2="cacc96da-194c-4ba3-b41a-184fd3206bc4" targetNamespace="http://schemas.microsoft.com/office/2006/metadata/properties" ma:root="true" ma:fieldsID="3d425d180f1073662591cf64b6052113" ns2:_="">
    <xsd:import namespace="cacc96da-194c-4ba3-b41a-184fd3206b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96da-194c-4ba3-b41a-184fd3206b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E684-133D-49B3-9D09-E3D1BBB34FD2}">
  <ds:schemaRefs>
    <ds:schemaRef ds:uri="http://schemas.microsoft.com/office/2006/metadata/properties"/>
    <ds:schemaRef ds:uri="cacc96da-194c-4ba3-b41a-184fd3206b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CD288F8-6FA8-47CA-9A49-F8C96782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96da-194c-4ba3-b41a-184fd320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AF689-5B3B-42BA-97D0-2F4EDA65F5D9}">
  <ds:schemaRefs>
    <ds:schemaRef ds:uri="http://schemas.microsoft.com/sharepoint/v3/contenttype/forms"/>
  </ds:schemaRefs>
</ds:datastoreItem>
</file>

<file path=customXml/itemProps4.xml><?xml version="1.0" encoding="utf-8"?>
<ds:datastoreItem xmlns:ds="http://schemas.openxmlformats.org/officeDocument/2006/customXml" ds:itemID="{D481B23E-F67E-4097-A833-5896AB23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2036</Characters>
  <Application>Microsoft Office Word</Application>
  <DocSecurity>0</DocSecurity>
  <Lines>16</Lines>
  <Paragraphs>4</Paragraphs>
  <ScaleCrop>false</ScaleCrop>
  <HeadingPairs>
    <vt:vector size="10" baseType="variant">
      <vt:variant>
        <vt:lpstr>Titre</vt:lpstr>
      </vt:variant>
      <vt:variant>
        <vt:i4>1</vt:i4>
      </vt:variant>
      <vt:variant>
        <vt:lpstr>Titolo</vt:lpstr>
      </vt:variant>
      <vt:variant>
        <vt:i4>1</vt:i4>
      </vt:variant>
      <vt:variant>
        <vt:lpstr>Título</vt:lpstr>
      </vt:variant>
      <vt:variant>
        <vt:i4>1</vt:i4>
      </vt:variant>
      <vt:variant>
        <vt:lpstr>Titel</vt:lpstr>
      </vt:variant>
      <vt:variant>
        <vt:i4>1</vt:i4>
      </vt:variant>
      <vt:variant>
        <vt:lpstr>Title</vt:lpstr>
      </vt:variant>
      <vt:variant>
        <vt:i4>1</vt:i4>
      </vt:variant>
    </vt:vector>
  </HeadingPairs>
  <TitlesOfParts>
    <vt:vector size="5" baseType="lpstr">
      <vt:lpstr>Soluciones integrales de medición de presión y temperatura para temperaturas ambiente extremadamente bajas.</vt:lpstr>
      <vt:lpstr>WIKA celebra su 75 aniversario:</vt:lpstr>
      <vt:lpstr>Hastelloy-Manometer</vt:lpstr>
      <vt:lpstr>Hastelloy-Manometer</vt:lpstr>
      <vt:lpstr>Differenzdruckmessgeräte:</vt:lpstr>
    </vt:vector>
  </TitlesOfParts>
  <Company>WIKA Alexander Wiegand GmbH &amp; Co.</Company>
  <LinksUpToDate>false</LinksUpToDate>
  <CharactersWithSpaces>2364</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Soluciones integrales de medición de presión y temperatura para temperaturas ambiente extremadamente bajas.</dc:title>
  <dc:creator>AdrianM</dc:creator>
  <cp:lastModifiedBy>Nunez, Maria-José</cp:lastModifiedBy>
  <cp:revision>4</cp:revision>
  <cp:lastPrinted>2021-04-19T09:50:00Z</cp:lastPrinted>
  <dcterms:created xsi:type="dcterms:W3CDTF">2021-04-19T09:46:00Z</dcterms:created>
  <dcterms:modified xsi:type="dcterms:W3CDTF">2021-04-19T10:14:00Z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