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33" w:rsidRDefault="001914A8">
      <w:pPr>
        <w:pStyle w:val="Textoindependiente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primeros manómetros de alta presión de WIKA homologados según la nueva norma DIN 16001</w:t>
      </w:r>
      <w:r>
        <w:rPr>
          <w:rFonts w:ascii="Arial Unicode MS" w:hAnsi="Arial Unicode MS"/>
          <w:b w:val="0"/>
          <w:bCs w:val="0"/>
          <w:sz w:val="24"/>
          <w:szCs w:val="24"/>
          <w:lang w:val="es-ES_tradnl"/>
        </w:rPr>
        <w:br/>
      </w:r>
    </w:p>
    <w:p w:rsidR="00001F33" w:rsidRDefault="001914A8">
      <w:pPr>
        <w:pStyle w:val="Textoindependiente"/>
        <w:rPr>
          <w:lang w:val="es-ES_tradnl"/>
        </w:rPr>
      </w:pPr>
      <w:r>
        <w:rPr>
          <w:lang w:val="es-ES_tradnl"/>
        </w:rPr>
        <w:t>Barcelona, octubre 2017</w:t>
      </w:r>
    </w:p>
    <w:p w:rsidR="00001F33" w:rsidRDefault="001914A8">
      <w:pPr>
        <w:pStyle w:val="Textoindependiente"/>
        <w:rPr>
          <w:lang w:val="es-ES_tradnl"/>
        </w:rPr>
      </w:pPr>
      <w:r>
        <w:rPr>
          <w:lang w:val="es-ES_tradnl"/>
        </w:rPr>
        <w:t xml:space="preserve">WIKA presenta una nueva generación de manómetros de alta presión. Se trata de los primeros instrumentos fabricados y homologados según la </w:t>
      </w:r>
      <w:r>
        <w:rPr>
          <w:lang w:val="es-ES_tradnl"/>
        </w:rPr>
        <w:t>nueva norma DIN 16001, para los cuales WIKA contribuyó activamente a su diseño como socio colaborador del comité DIN.</w:t>
      </w:r>
      <w:r>
        <w:rPr>
          <w:rFonts w:ascii="Arial Unicode MS" w:hAnsi="Arial Unicode MS"/>
          <w:b w:val="0"/>
          <w:bCs w:val="0"/>
          <w:lang w:val="es-ES_tradnl"/>
        </w:rPr>
        <w:br/>
      </w:r>
    </w:p>
    <w:p w:rsidR="00001F33" w:rsidRDefault="001914A8">
      <w:pPr>
        <w:pStyle w:val="Textoindependiente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La construcción según DIN 16001 certifica que no existirá ningún riesgo durante el funcionamiento, incluso en condiciones críticas. Estos</w:t>
      </w:r>
      <w:r>
        <w:rPr>
          <w:b w:val="0"/>
          <w:bCs w:val="0"/>
          <w:lang w:val="es-ES_tradnl"/>
        </w:rPr>
        <w:t xml:space="preserve"> instrumentos de medición cumplen plenamente con los requisitos de la máxima categoría de seguridad "S3" (medidores de seguridad con “</w:t>
      </w:r>
      <w:proofErr w:type="spellStart"/>
      <w:r>
        <w:rPr>
          <w:b w:val="0"/>
          <w:bCs w:val="0"/>
          <w:lang w:val="es-ES_tradnl"/>
        </w:rPr>
        <w:t>solidfront</w:t>
      </w:r>
      <w:proofErr w:type="spellEnd"/>
      <w:r>
        <w:rPr>
          <w:b w:val="0"/>
          <w:bCs w:val="0"/>
          <w:lang w:val="es-ES_tradnl"/>
        </w:rPr>
        <w:t>”).</w:t>
      </w:r>
    </w:p>
    <w:p w:rsidR="00001F33" w:rsidRDefault="00001F33">
      <w:pPr>
        <w:pStyle w:val="Textoindependiente"/>
        <w:rPr>
          <w:b w:val="0"/>
          <w:bCs w:val="0"/>
          <w:lang w:val="es-ES_tradnl"/>
        </w:rPr>
      </w:pPr>
    </w:p>
    <w:p w:rsidR="00001F33" w:rsidRDefault="001914A8">
      <w:pPr>
        <w:pStyle w:val="Textoindependiente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Con los nuevos manómetros, el operador dispone de una solución adaptada a aplicaciones con elevada presión </w:t>
      </w:r>
      <w:r>
        <w:rPr>
          <w:b w:val="0"/>
          <w:bCs w:val="0"/>
          <w:lang w:val="es-ES_tradnl"/>
        </w:rPr>
        <w:t>de hasta 6.000 bar con una elevada exactitud de indicación de hasta 0,6%. La estabilidad frente a ciclos de carga está claramente por encima de los requerimientos del estándar y se mantiene incluso con perfiles de presión dinámicos. La versión PG23HP-S  es</w:t>
      </w:r>
      <w:r>
        <w:rPr>
          <w:b w:val="0"/>
          <w:bCs w:val="0"/>
          <w:lang w:val="es-ES_tradnl"/>
        </w:rPr>
        <w:t xml:space="preserve"> una versión adaptada para requisitos de medición y exactitud más bajos.</w:t>
      </w:r>
    </w:p>
    <w:p w:rsidR="00001F33" w:rsidRDefault="00001F33">
      <w:pPr>
        <w:pStyle w:val="Textoindependiente"/>
        <w:rPr>
          <w:b w:val="0"/>
          <w:bCs w:val="0"/>
          <w:lang w:val="es-ES_tradnl"/>
        </w:rPr>
      </w:pPr>
    </w:p>
    <w:p w:rsidR="00001F33" w:rsidRDefault="00001F33">
      <w:pPr>
        <w:pStyle w:val="Textoindependiente"/>
        <w:rPr>
          <w:b w:val="0"/>
          <w:bCs w:val="0"/>
          <w:lang w:val="es-ES_tradnl"/>
        </w:rPr>
      </w:pPr>
    </w:p>
    <w:p w:rsidR="00001F33" w:rsidRDefault="00184CB9">
      <w:pPr>
        <w:pStyle w:val="Textoindependiente"/>
        <w:rPr>
          <w:b w:val="0"/>
          <w:bCs w:val="0"/>
        </w:rPr>
      </w:pPr>
      <w:proofErr w:type="spellStart"/>
      <w:r>
        <w:rPr>
          <w:b w:val="0"/>
          <w:bCs w:val="0"/>
        </w:rPr>
        <w:t>Caracteres</w:t>
      </w:r>
      <w:proofErr w:type="spellEnd"/>
      <w:r w:rsidR="001914A8">
        <w:rPr>
          <w:b w:val="0"/>
          <w:bCs w:val="0"/>
        </w:rPr>
        <w:t>: 931</w:t>
      </w:r>
    </w:p>
    <w:p w:rsidR="00001F33" w:rsidRDefault="001914A8">
      <w:pPr>
        <w:pStyle w:val="Cos"/>
        <w:rPr>
          <w:position w:val="12"/>
          <w:sz w:val="22"/>
          <w:szCs w:val="22"/>
        </w:rPr>
      </w:pPr>
      <w:r>
        <w:rPr>
          <w:position w:val="12"/>
          <w:sz w:val="22"/>
          <w:szCs w:val="22"/>
        </w:rPr>
        <w:t xml:space="preserve">Referencia: PG23HP-P/-S </w:t>
      </w:r>
    </w:p>
    <w:p w:rsidR="00001F33" w:rsidRDefault="00001F33">
      <w:pPr>
        <w:pStyle w:val="Cos"/>
        <w:rPr>
          <w:position w:val="12"/>
          <w:sz w:val="22"/>
          <w:szCs w:val="22"/>
        </w:rPr>
      </w:pPr>
    </w:p>
    <w:p w:rsidR="00001F33" w:rsidRDefault="00001F33">
      <w:pPr>
        <w:pStyle w:val="Cos"/>
        <w:rPr>
          <w:position w:val="12"/>
          <w:sz w:val="22"/>
          <w:szCs w:val="22"/>
        </w:rPr>
      </w:pPr>
    </w:p>
    <w:p w:rsidR="00001F33" w:rsidRDefault="00001F33">
      <w:pPr>
        <w:pStyle w:val="Cos"/>
        <w:rPr>
          <w:position w:val="12"/>
          <w:sz w:val="22"/>
          <w:szCs w:val="22"/>
        </w:rPr>
      </w:pPr>
    </w:p>
    <w:p w:rsidR="00001F33" w:rsidRDefault="00001F33">
      <w:pPr>
        <w:pStyle w:val="Cos"/>
        <w:rPr>
          <w:position w:val="12"/>
          <w:sz w:val="22"/>
          <w:szCs w:val="22"/>
        </w:rPr>
      </w:pPr>
    </w:p>
    <w:p w:rsidR="00001F33" w:rsidRDefault="00001F33">
      <w:pPr>
        <w:pStyle w:val="Cos"/>
        <w:rPr>
          <w:position w:val="12"/>
          <w:sz w:val="22"/>
          <w:szCs w:val="22"/>
        </w:rPr>
      </w:pPr>
    </w:p>
    <w:p w:rsidR="00001F33" w:rsidRDefault="00001F33">
      <w:pPr>
        <w:pStyle w:val="Cos"/>
        <w:rPr>
          <w:b/>
          <w:bCs/>
        </w:rPr>
      </w:pPr>
    </w:p>
    <w:p w:rsidR="00001F33" w:rsidRPr="00184CB9" w:rsidRDefault="00001F33">
      <w:pPr>
        <w:pStyle w:val="Textoindependiente"/>
        <w:rPr>
          <w:b w:val="0"/>
          <w:bCs w:val="0"/>
          <w:sz w:val="20"/>
          <w:szCs w:val="20"/>
          <w:lang w:val="es-ES_tradnl"/>
        </w:rPr>
      </w:pPr>
    </w:p>
    <w:p w:rsidR="00001F33" w:rsidRPr="00184CB9" w:rsidRDefault="00001F33">
      <w:pPr>
        <w:pStyle w:val="Textoindependiente"/>
        <w:rPr>
          <w:b w:val="0"/>
          <w:bCs w:val="0"/>
          <w:sz w:val="20"/>
          <w:szCs w:val="20"/>
          <w:lang w:val="es-ES_tradnl"/>
        </w:rPr>
      </w:pPr>
      <w:bookmarkStart w:id="0" w:name="_GoBack"/>
      <w:bookmarkEnd w:id="0"/>
    </w:p>
    <w:p w:rsidR="00001F33" w:rsidRPr="00184CB9" w:rsidRDefault="00001F33">
      <w:pPr>
        <w:pStyle w:val="Textoindependiente"/>
        <w:rPr>
          <w:b w:val="0"/>
          <w:bCs w:val="0"/>
          <w:sz w:val="20"/>
          <w:szCs w:val="20"/>
          <w:lang w:val="es-ES_tradnl"/>
        </w:rPr>
      </w:pPr>
    </w:p>
    <w:p w:rsidR="00001F33" w:rsidRDefault="00001F33">
      <w:pPr>
        <w:pStyle w:val="Cos"/>
        <w:ind w:right="480"/>
        <w:rPr>
          <w:b/>
          <w:bCs/>
          <w:position w:val="12"/>
        </w:rPr>
      </w:pPr>
    </w:p>
    <w:p w:rsidR="00001F33" w:rsidRDefault="00001F33">
      <w:pPr>
        <w:pStyle w:val="Cos"/>
        <w:ind w:right="480"/>
        <w:rPr>
          <w:b/>
          <w:bCs/>
          <w:position w:val="12"/>
        </w:rPr>
      </w:pPr>
    </w:p>
    <w:p w:rsidR="00001F33" w:rsidRDefault="001914A8">
      <w:pPr>
        <w:pStyle w:val="Cos"/>
      </w:pPr>
      <w:r w:rsidRPr="00184CB9">
        <w:rPr>
          <w:b/>
          <w:bCs/>
        </w:rPr>
        <w:t>Fabricante:</w:t>
      </w:r>
    </w:p>
    <w:p w:rsidR="00001F33" w:rsidRPr="00184CB9" w:rsidRDefault="001914A8">
      <w:pPr>
        <w:pStyle w:val="Cos"/>
        <w:rPr>
          <w:lang w:val="en-US"/>
        </w:rPr>
      </w:pPr>
      <w:r w:rsidRPr="00184CB9">
        <w:rPr>
          <w:lang w:val="en-US"/>
        </w:rPr>
        <w:t xml:space="preserve">WIKA Alexander </w:t>
      </w:r>
      <w:proofErr w:type="spellStart"/>
      <w:r w:rsidRPr="00184CB9">
        <w:rPr>
          <w:lang w:val="en-US"/>
        </w:rPr>
        <w:t>Wiegand</w:t>
      </w:r>
      <w:proofErr w:type="spellEnd"/>
      <w:r w:rsidRPr="00184CB9">
        <w:rPr>
          <w:lang w:val="en-US"/>
        </w:rPr>
        <w:t xml:space="preserve"> SE &amp; Co. </w:t>
      </w:r>
      <w:r w:rsidRPr="00184CB9">
        <w:rPr>
          <w:lang w:val="en-US"/>
        </w:rPr>
        <w:t>KG</w:t>
      </w:r>
    </w:p>
    <w:p w:rsidR="00001F33" w:rsidRPr="00184CB9" w:rsidRDefault="001914A8">
      <w:pPr>
        <w:pStyle w:val="Cos"/>
        <w:rPr>
          <w:lang w:val="de-DE"/>
        </w:rPr>
      </w:pPr>
      <w:r w:rsidRPr="00184CB9">
        <w:rPr>
          <w:lang w:val="de-DE"/>
        </w:rPr>
        <w:t>Alexander-Wiegand-Stra</w:t>
      </w:r>
      <w:r>
        <w:rPr>
          <w:lang w:val="de-DE"/>
        </w:rPr>
        <w:t>ß</w:t>
      </w:r>
      <w:r w:rsidRPr="00184CB9">
        <w:rPr>
          <w:lang w:val="de-DE"/>
        </w:rPr>
        <w:t>e 30</w:t>
      </w:r>
    </w:p>
    <w:p w:rsidR="00001F33" w:rsidRPr="00184CB9" w:rsidRDefault="001914A8">
      <w:pPr>
        <w:pStyle w:val="Cos"/>
        <w:rPr>
          <w:lang w:val="de-DE"/>
        </w:rPr>
      </w:pPr>
      <w:r w:rsidRPr="00184CB9">
        <w:rPr>
          <w:lang w:val="de-DE"/>
        </w:rPr>
        <w:t>63911 Klingenberg/Germany</w:t>
      </w:r>
    </w:p>
    <w:p w:rsidR="00001F33" w:rsidRPr="00184CB9" w:rsidRDefault="001914A8">
      <w:pPr>
        <w:pStyle w:val="Cos"/>
        <w:tabs>
          <w:tab w:val="left" w:pos="754"/>
          <w:tab w:val="left" w:pos="993"/>
        </w:tabs>
        <w:rPr>
          <w:lang w:val="de-DE"/>
        </w:rPr>
      </w:pPr>
      <w:r w:rsidRPr="00184CB9">
        <w:rPr>
          <w:lang w:val="de-DE"/>
        </w:rPr>
        <w:t>Tel. +49 9372 132-0</w:t>
      </w:r>
    </w:p>
    <w:p w:rsidR="00001F33" w:rsidRPr="00184CB9" w:rsidRDefault="001914A8">
      <w:pPr>
        <w:pStyle w:val="Cos"/>
        <w:tabs>
          <w:tab w:val="left" w:pos="754"/>
          <w:tab w:val="left" w:pos="993"/>
        </w:tabs>
        <w:rPr>
          <w:lang w:val="fr-FR"/>
        </w:rPr>
      </w:pPr>
      <w:r w:rsidRPr="00184CB9">
        <w:rPr>
          <w:lang w:val="fr-FR"/>
        </w:rPr>
        <w:t>Fax +49 9372 132-406</w:t>
      </w:r>
    </w:p>
    <w:p w:rsidR="00001F33" w:rsidRPr="00184CB9" w:rsidRDefault="001914A8">
      <w:pPr>
        <w:pStyle w:val="Cos"/>
        <w:tabs>
          <w:tab w:val="left" w:pos="754"/>
          <w:tab w:val="left" w:pos="993"/>
        </w:tabs>
        <w:rPr>
          <w:u w:val="single"/>
          <w:lang w:val="fr-FR"/>
        </w:rPr>
      </w:pPr>
      <w:r w:rsidRPr="00184CB9">
        <w:rPr>
          <w:lang w:val="fr-FR"/>
        </w:rPr>
        <w:t>vertrieb@wika.com</w:t>
      </w:r>
    </w:p>
    <w:p w:rsidR="00001F33" w:rsidRPr="00184CB9" w:rsidRDefault="001914A8">
      <w:pPr>
        <w:pStyle w:val="Cos"/>
        <w:tabs>
          <w:tab w:val="left" w:pos="754"/>
          <w:tab w:val="left" w:pos="993"/>
        </w:tabs>
        <w:rPr>
          <w:rFonts w:ascii="Times New Roman" w:eastAsia="Times New Roman" w:hAnsi="Times New Roman" w:cs="Times New Roman"/>
          <w:lang w:val="fr-FR"/>
        </w:rPr>
      </w:pPr>
      <w:hyperlink r:id="rId6" w:history="1">
        <w:r w:rsidRPr="00184CB9">
          <w:rPr>
            <w:rStyle w:val="Hyperlink0"/>
            <w:lang w:val="fr-FR"/>
          </w:rPr>
          <w:t>www.wika.de</w:t>
        </w:r>
      </w:hyperlink>
    </w:p>
    <w:p w:rsidR="00001F33" w:rsidRPr="00184CB9" w:rsidRDefault="00001F33">
      <w:pPr>
        <w:pStyle w:val="Cos"/>
        <w:tabs>
          <w:tab w:val="left" w:pos="993"/>
        </w:tabs>
        <w:rPr>
          <w:b/>
          <w:bCs/>
          <w:lang w:val="fr-FR"/>
        </w:rPr>
      </w:pPr>
    </w:p>
    <w:p w:rsidR="00001F33" w:rsidRPr="00184CB9" w:rsidRDefault="00001F33">
      <w:pPr>
        <w:pStyle w:val="Cos"/>
        <w:tabs>
          <w:tab w:val="left" w:pos="754"/>
          <w:tab w:val="left" w:pos="993"/>
        </w:tabs>
        <w:rPr>
          <w:lang w:val="fr-FR"/>
        </w:rPr>
      </w:pPr>
    </w:p>
    <w:p w:rsidR="00001F33" w:rsidRDefault="001914A8">
      <w:pPr>
        <w:pStyle w:val="Cos"/>
      </w:pPr>
      <w:r>
        <w:rPr>
          <w:b/>
          <w:bCs/>
        </w:rPr>
        <w:t>Foto WIKA:</w:t>
      </w:r>
    </w:p>
    <w:p w:rsidR="00001F33" w:rsidRDefault="001914A8">
      <w:pPr>
        <w:pStyle w:val="Encabezado"/>
        <w:tabs>
          <w:tab w:val="clear" w:pos="4536"/>
          <w:tab w:val="clear" w:pos="9072"/>
        </w:tabs>
        <w:rPr>
          <w:lang w:val="es-ES_tradnl"/>
        </w:rPr>
      </w:pPr>
      <w:r>
        <w:rPr>
          <w:lang w:val="es-ES_tradnl"/>
        </w:rPr>
        <w:t>Manómetro de alta presión PG23HP-P y  PG23HP-S</w:t>
      </w: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Pr="00184CB9" w:rsidRDefault="001914A8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  <w:r>
        <w:rPr>
          <w:noProof/>
          <w:sz w:val="24"/>
          <w:szCs w:val="24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1350644</wp:posOffset>
            </wp:positionH>
            <wp:positionV relativeFrom="line">
              <wp:posOffset>144779</wp:posOffset>
            </wp:positionV>
            <wp:extent cx="3659505" cy="31718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N:\Sales-Europe\06_Marketing\MS\02_Media\10_Presse_MAAN\02_Presseinformationen\2017\Bilder\PIC_NE_PR1417_de-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:\Sales-Europe\06_Marketing\MS\02_Media\10_Presse_MAAN\02_Presseinformationen\2017\Bilder\PIC_NE_PR1417_de-de.jpg" descr="N:\Sales-Europe\06_Marketing\MS\02_Media\10_Presse_MAAN\02_Presseinformationen\2017\Bilder\PIC_NE_PR1417_de-d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3171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b/>
          <w:bCs/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001F33" w:rsidRDefault="00001F33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001F33" w:rsidRDefault="00184CB9">
      <w:pPr>
        <w:pStyle w:val="Encabezado"/>
        <w:tabs>
          <w:tab w:val="clear" w:pos="4536"/>
          <w:tab w:val="clear" w:pos="9072"/>
        </w:tabs>
        <w:rPr>
          <w:lang w:val="es-ES_tradnl"/>
        </w:rPr>
      </w:pPr>
      <w:r>
        <w:rPr>
          <w:lang w:val="es-ES_tradnl"/>
        </w:rPr>
        <w:br/>
      </w:r>
      <w:r>
        <w:rPr>
          <w:lang w:val="es-ES_tradnl"/>
        </w:rPr>
        <w:br/>
      </w:r>
    </w:p>
    <w:p w:rsidR="00001F33" w:rsidRDefault="00001F33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184CB9" w:rsidRPr="00184CB9" w:rsidRDefault="00184CB9" w:rsidP="00184CB9">
      <w:pPr>
        <w:tabs>
          <w:tab w:val="left" w:pos="754"/>
          <w:tab w:val="left" w:pos="993"/>
        </w:tabs>
        <w:rPr>
          <w:rFonts w:ascii="Arial" w:hAnsi="Arial" w:cs="Arial"/>
          <w:b/>
          <w:sz w:val="20"/>
          <w:szCs w:val="20"/>
          <w:lang w:val="es-ES"/>
        </w:rPr>
      </w:pPr>
      <w:r w:rsidRPr="00184CB9">
        <w:rPr>
          <w:rFonts w:ascii="Arial" w:hAnsi="Arial" w:cs="Arial"/>
          <w:b/>
          <w:sz w:val="20"/>
          <w:szCs w:val="20"/>
          <w:lang w:val="es-ES"/>
        </w:rPr>
        <w:t>Redacción:</w:t>
      </w:r>
    </w:p>
    <w:p w:rsidR="00184CB9" w:rsidRPr="00184CB9" w:rsidRDefault="00184CB9" w:rsidP="00184CB9">
      <w:pPr>
        <w:tabs>
          <w:tab w:val="left" w:pos="993"/>
        </w:tabs>
        <w:rPr>
          <w:rFonts w:ascii="Arial" w:hAnsi="Arial" w:cs="Arial"/>
          <w:sz w:val="20"/>
          <w:szCs w:val="20"/>
          <w:lang w:val="es-ES"/>
        </w:rPr>
      </w:pPr>
      <w:r w:rsidRPr="00184CB9">
        <w:rPr>
          <w:rFonts w:ascii="Arial" w:hAnsi="Arial" w:cs="Arial"/>
          <w:sz w:val="20"/>
          <w:szCs w:val="20"/>
          <w:lang w:val="es-ES"/>
        </w:rPr>
        <w:t xml:space="preserve">Instrumentos WIKA S.A.U. </w:t>
      </w:r>
    </w:p>
    <w:p w:rsidR="00184CB9" w:rsidRPr="00184CB9" w:rsidRDefault="00184CB9" w:rsidP="00184CB9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84CB9">
        <w:rPr>
          <w:rFonts w:ascii="Arial" w:hAnsi="Arial" w:cs="Arial"/>
          <w:sz w:val="20"/>
          <w:szCs w:val="20"/>
        </w:rPr>
        <w:t xml:space="preserve">Chassan Jalloul </w:t>
      </w:r>
    </w:p>
    <w:p w:rsidR="00184CB9" w:rsidRPr="00184CB9" w:rsidRDefault="00184CB9" w:rsidP="00184CB9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184CB9">
        <w:rPr>
          <w:rFonts w:ascii="Arial" w:hAnsi="Arial" w:cs="Arial"/>
          <w:sz w:val="20"/>
          <w:szCs w:val="20"/>
        </w:rPr>
        <w:t xml:space="preserve">Marketing </w:t>
      </w:r>
    </w:p>
    <w:p w:rsidR="00184CB9" w:rsidRPr="00184CB9" w:rsidRDefault="00184CB9" w:rsidP="00184CB9">
      <w:pPr>
        <w:rPr>
          <w:rFonts w:ascii="Arial" w:hAnsi="Arial" w:cs="Arial"/>
          <w:sz w:val="20"/>
          <w:szCs w:val="20"/>
        </w:rPr>
      </w:pPr>
      <w:r w:rsidRPr="00184CB9">
        <w:rPr>
          <w:rFonts w:ascii="Arial" w:hAnsi="Arial" w:cs="Arial"/>
          <w:sz w:val="20"/>
          <w:szCs w:val="20"/>
        </w:rPr>
        <w:t xml:space="preserve">C/ Josep </w:t>
      </w:r>
      <w:proofErr w:type="spellStart"/>
      <w:r w:rsidRPr="00184CB9">
        <w:rPr>
          <w:rFonts w:ascii="Arial" w:hAnsi="Arial" w:cs="Arial"/>
          <w:sz w:val="20"/>
          <w:szCs w:val="20"/>
        </w:rPr>
        <w:t>Carner</w:t>
      </w:r>
      <w:proofErr w:type="spellEnd"/>
      <w:r w:rsidRPr="00184CB9">
        <w:rPr>
          <w:rFonts w:ascii="Arial" w:hAnsi="Arial" w:cs="Arial"/>
          <w:sz w:val="20"/>
          <w:szCs w:val="20"/>
        </w:rPr>
        <w:t xml:space="preserve"> 11</w:t>
      </w:r>
    </w:p>
    <w:p w:rsidR="00184CB9" w:rsidRPr="00184CB9" w:rsidRDefault="00184CB9" w:rsidP="00184CB9">
      <w:pPr>
        <w:rPr>
          <w:rFonts w:ascii="Arial" w:hAnsi="Arial" w:cs="Arial"/>
          <w:sz w:val="20"/>
          <w:szCs w:val="20"/>
        </w:rPr>
      </w:pPr>
      <w:r w:rsidRPr="00184CB9">
        <w:rPr>
          <w:rFonts w:ascii="Arial" w:hAnsi="Arial" w:cs="Arial"/>
          <w:sz w:val="20"/>
          <w:szCs w:val="20"/>
        </w:rPr>
        <w:t xml:space="preserve">08205 Sabadell </w:t>
      </w:r>
      <w:proofErr w:type="spellStart"/>
      <w:r w:rsidRPr="00184CB9">
        <w:rPr>
          <w:rFonts w:ascii="Arial" w:hAnsi="Arial" w:cs="Arial"/>
          <w:sz w:val="20"/>
          <w:szCs w:val="20"/>
        </w:rPr>
        <w:t>Klingenberg</w:t>
      </w:r>
      <w:proofErr w:type="spellEnd"/>
      <w:r w:rsidRPr="00184CB9">
        <w:rPr>
          <w:rFonts w:ascii="Arial" w:hAnsi="Arial" w:cs="Arial"/>
          <w:sz w:val="20"/>
          <w:szCs w:val="20"/>
        </w:rPr>
        <w:t>/Germany</w:t>
      </w:r>
    </w:p>
    <w:p w:rsidR="00184CB9" w:rsidRPr="00184CB9" w:rsidRDefault="00184CB9" w:rsidP="00184CB9">
      <w:pPr>
        <w:rPr>
          <w:rFonts w:ascii="Arial" w:hAnsi="Arial" w:cs="Arial"/>
          <w:sz w:val="20"/>
          <w:szCs w:val="20"/>
        </w:rPr>
      </w:pPr>
      <w:r w:rsidRPr="00184CB9">
        <w:rPr>
          <w:rFonts w:ascii="Arial" w:hAnsi="Arial" w:cs="Arial"/>
          <w:sz w:val="20"/>
          <w:szCs w:val="20"/>
        </w:rPr>
        <w:t>Tel. +34 933 938 669</w:t>
      </w:r>
    </w:p>
    <w:p w:rsidR="00184CB9" w:rsidRPr="00184CB9" w:rsidRDefault="00184CB9" w:rsidP="00184C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84CB9">
        <w:rPr>
          <w:rFonts w:ascii="Arial" w:hAnsi="Arial" w:cs="Arial"/>
          <w:sz w:val="20"/>
          <w:szCs w:val="20"/>
        </w:rPr>
        <w:t>hassan.jalloul@wika.com</w:t>
      </w:r>
    </w:p>
    <w:p w:rsidR="00184CB9" w:rsidRPr="00184CB9" w:rsidRDefault="00184CB9" w:rsidP="00184CB9">
      <w:pPr>
        <w:rPr>
          <w:rFonts w:ascii="Arial" w:hAnsi="Arial" w:cs="Arial"/>
          <w:sz w:val="20"/>
          <w:szCs w:val="20"/>
        </w:rPr>
      </w:pPr>
      <w:hyperlink r:id="rId8" w:history="1">
        <w:r w:rsidRPr="00184CB9">
          <w:rPr>
            <w:rStyle w:val="Hipervnculo"/>
            <w:rFonts w:ascii="Arial" w:hAnsi="Arial" w:cs="Arial"/>
            <w:sz w:val="20"/>
            <w:szCs w:val="20"/>
          </w:rPr>
          <w:t>www.wika.es</w:t>
        </w:r>
      </w:hyperlink>
    </w:p>
    <w:p w:rsidR="00184CB9" w:rsidRPr="00184CB9" w:rsidRDefault="00184CB9" w:rsidP="00184CB9">
      <w:pPr>
        <w:tabs>
          <w:tab w:val="left" w:pos="567"/>
        </w:tabs>
        <w:ind w:right="480"/>
        <w:rPr>
          <w:rFonts w:ascii="Arial" w:hAnsi="Arial" w:cs="Arial"/>
          <w:position w:val="6"/>
          <w:sz w:val="20"/>
          <w:szCs w:val="20"/>
        </w:rPr>
      </w:pPr>
    </w:p>
    <w:p w:rsidR="00001F33" w:rsidRDefault="00184CB9" w:rsidP="00184CB9">
      <w:r w:rsidRPr="00184CB9">
        <w:rPr>
          <w:rFonts w:ascii="Arial" w:hAnsi="Arial" w:cs="Arial"/>
          <w:sz w:val="20"/>
          <w:szCs w:val="20"/>
          <w:lang w:val="es-ES"/>
        </w:rPr>
        <w:t>Nota de prensa WIKA 1</w:t>
      </w:r>
      <w:r w:rsidRPr="00184CB9">
        <w:rPr>
          <w:rFonts w:ascii="Arial" w:hAnsi="Arial" w:cs="Arial"/>
          <w:sz w:val="20"/>
          <w:szCs w:val="20"/>
          <w:lang w:val="es-ES"/>
        </w:rPr>
        <w:t>4</w:t>
      </w:r>
      <w:r w:rsidRPr="00184CB9">
        <w:rPr>
          <w:rFonts w:ascii="Arial" w:hAnsi="Arial" w:cs="Arial"/>
          <w:sz w:val="20"/>
          <w:szCs w:val="20"/>
          <w:lang w:val="es-ES"/>
        </w:rPr>
        <w:t>/2017</w:t>
      </w:r>
    </w:p>
    <w:sectPr w:rsidR="00001F33">
      <w:headerReference w:type="default" r:id="rId9"/>
      <w:pgSz w:w="11900" w:h="16840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14A8">
      <w:r>
        <w:separator/>
      </w:r>
    </w:p>
  </w:endnote>
  <w:endnote w:type="continuationSeparator" w:id="0">
    <w:p w:rsidR="00000000" w:rsidRDefault="0019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14A8">
      <w:r>
        <w:separator/>
      </w:r>
    </w:p>
  </w:footnote>
  <w:footnote w:type="continuationSeparator" w:id="0">
    <w:p w:rsidR="00000000" w:rsidRDefault="0019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33" w:rsidRDefault="001914A8">
    <w:pPr>
      <w:pStyle w:val="Encabezado"/>
      <w:tabs>
        <w:tab w:val="clear" w:pos="9072"/>
        <w:tab w:val="right" w:pos="6778"/>
      </w:tabs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-3526789</wp:posOffset>
              </wp:positionH>
              <wp:positionV relativeFrom="page">
                <wp:posOffset>5307965</wp:posOffset>
              </wp:positionV>
              <wp:extent cx="8649970" cy="1596391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9970" cy="159639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01F33" w:rsidRDefault="001914A8">
                          <w:pPr>
                            <w:pStyle w:val="Capalera2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C0C0C0"/>
                              <w:sz w:val="136"/>
                              <w:szCs w:val="136"/>
                              <w:u w:color="C0C0C0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77.7pt;margin-top:418.0pt;width:681.1pt;height:125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çalera 2"/>
                      <w:jc w:val="center"/>
                    </w:pPr>
                    <w:r>
                      <w:rPr>
                        <w:rFonts w:ascii="Impact" w:hAnsi="Impact"/>
                        <w:color w:val="c0c0c0"/>
                        <w:sz w:val="136"/>
                        <w:szCs w:val="136"/>
                        <w:u w:color="c0c0c0"/>
                        <w:rtl w:val="0"/>
                        <w:lang w:val="es-ES_tradnl"/>
                      </w:rPr>
                      <w:t xml:space="preserve">Nota de prensa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5574029</wp:posOffset>
              </wp:positionH>
              <wp:positionV relativeFrom="page">
                <wp:posOffset>647065</wp:posOffset>
              </wp:positionV>
              <wp:extent cx="1463041" cy="548641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1" cy="5486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38.9pt;margin-top:51.0pt;width:115.2pt;height:43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3"/>
    <w:rsid w:val="00001F33"/>
    <w:rsid w:val="00184CB9"/>
    <w:rsid w:val="001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FC12"/>
  <w15:docId w15:val="{B2F5B24E-6DAA-437F-9DB6-56E3F45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customStyle="1" w:styleId="Capalera2">
    <w:name w:val="Capçalera 2"/>
    <w:next w:val="Cos"/>
    <w:pPr>
      <w:keepNext/>
      <w:outlineLvl w:val="1"/>
    </w:pPr>
    <w:rPr>
      <w:rFonts w:ascii="Arial" w:hAnsi="Arial" w:cs="Arial Unicode MS"/>
      <w:color w:val="000000"/>
      <w:sz w:val="130"/>
      <w:szCs w:val="130"/>
      <w:u w:color="000000"/>
      <w:lang w:val="es-ES_tradnl"/>
    </w:rPr>
  </w:style>
  <w:style w:type="paragraph" w:customStyle="1" w:styleId="Cos">
    <w:name w:val="Cos"/>
    <w:rPr>
      <w:rFonts w:ascii="Arial" w:hAnsi="Arial" w:cs="Arial Unicode MS"/>
      <w:color w:val="000000"/>
      <w:u w:color="000000"/>
      <w:lang w:val="es-ES_tradnl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xtoindependiente">
    <w:name w:val="Body Text"/>
    <w:rPr>
      <w:rFonts w:ascii="Arial" w:hAnsi="Arial" w:cs="Arial Unicode MS"/>
      <w:b/>
      <w:bCs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a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793BBB12</Template>
  <TotalTime>0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WIKA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Jalloul, Chassan</dc:creator>
  <cp:lastModifiedBy>Jalloul, Chassan</cp:lastModifiedBy>
  <cp:revision>2</cp:revision>
  <dcterms:created xsi:type="dcterms:W3CDTF">2017-10-26T08:09:00Z</dcterms:created>
  <dcterms:modified xsi:type="dcterms:W3CDTF">2017-10-26T08:09:00Z</dcterms:modified>
</cp:coreProperties>
</file>